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E1" w:rsidRDefault="009F3470">
      <w:pPr>
        <w:spacing w:line="276" w:lineRule="auto"/>
        <w:jc w:val="center"/>
        <w:rPr>
          <w:b/>
          <w:bCs/>
          <w:caps/>
        </w:rPr>
      </w:pPr>
      <w:r>
        <w:rPr>
          <w:b/>
          <w:bCs/>
          <w:caps/>
        </w:rPr>
        <w:t>Adásvételi szerződés</w:t>
      </w:r>
    </w:p>
    <w:p w:rsidR="007C26E1" w:rsidRDefault="007C26E1">
      <w:pPr>
        <w:spacing w:line="276" w:lineRule="auto"/>
        <w:jc w:val="center"/>
        <w:rPr>
          <w:b/>
          <w:bCs/>
          <w:u w:val="single"/>
        </w:rPr>
      </w:pPr>
    </w:p>
    <w:p w:rsidR="007C26E1" w:rsidRDefault="009F3470">
      <w:pPr>
        <w:pStyle w:val="Szvegtrzs1"/>
        <w:shd w:val="clear" w:color="auto" w:fill="auto"/>
        <w:spacing w:before="0" w:after="201" w:line="276" w:lineRule="auto"/>
        <w:ind w:firstLine="0"/>
        <w:rPr>
          <w:sz w:val="24"/>
          <w:szCs w:val="24"/>
        </w:rPr>
      </w:pPr>
      <w:r>
        <w:rPr>
          <w:sz w:val="24"/>
          <w:szCs w:val="24"/>
        </w:rPr>
        <w:t>amely létrejött egyrészről</w:t>
      </w:r>
    </w:p>
    <w:p w:rsidR="007C26E1" w:rsidRDefault="009F3470">
      <w:pPr>
        <w:pStyle w:val="Szvegtrzs1"/>
        <w:shd w:val="clear" w:color="auto" w:fill="auto"/>
        <w:spacing w:before="0" w:after="201" w:line="276" w:lineRule="auto"/>
        <w:ind w:firstLine="0"/>
        <w:rPr>
          <w:sz w:val="24"/>
          <w:szCs w:val="24"/>
        </w:rPr>
      </w:pPr>
      <w:r>
        <w:rPr>
          <w:sz w:val="24"/>
          <w:szCs w:val="24"/>
        </w:rPr>
        <w:t xml:space="preserve">a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cgjsz.: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 xml:space="preserve">(székhelye: 1087 Budapest, Könyves Kálmán krt. 54-60.; adószáma: 10856417-2-44; cégjegyzékszáma: 01-10-042272; ), rövid elnevezés: </w:t>
      </w:r>
      <w:r>
        <w:rPr>
          <w:b/>
          <w:bCs/>
          <w:sz w:val="24"/>
          <w:szCs w:val="24"/>
        </w:rPr>
        <w:t>MÁV Zrt.</w:t>
      </w:r>
      <w:r>
        <w:rPr>
          <w:sz w:val="24"/>
          <w:szCs w:val="24"/>
        </w:rPr>
        <w:t>,</w:t>
      </w:r>
    </w:p>
    <w:p w:rsidR="007C26E1" w:rsidRDefault="009F3470">
      <w:pPr>
        <w:spacing w:line="276" w:lineRule="auto"/>
        <w:jc w:val="both"/>
        <w:rPr>
          <w:rFonts w:eastAsia="Calibri"/>
          <w:u w:val="single"/>
        </w:rPr>
      </w:pPr>
      <w:r>
        <w:rPr>
          <w:rFonts w:eastAsia="Calibri"/>
          <w:u w:val="single"/>
        </w:rPr>
        <w:t>A szerződéskötés és teljesítés során a MÁV Zrt. képviseletében eljár (közreműködő):</w:t>
      </w:r>
    </w:p>
    <w:p w:rsidR="007C26E1" w:rsidRDefault="009F3470">
      <w:pPr>
        <w:spacing w:line="276" w:lineRule="auto"/>
        <w:jc w:val="both"/>
        <w:rPr>
          <w:rFonts w:eastAsia="Calibri"/>
          <w:b/>
          <w:bCs/>
        </w:rPr>
      </w:pPr>
      <w:r>
        <w:rPr>
          <w:rFonts w:eastAsia="Calibri"/>
          <w:b/>
          <w:bCs/>
        </w:rPr>
        <w:t xml:space="preserve">MÁV Szolgáltató Központ Zrt. </w:t>
      </w:r>
    </w:p>
    <w:p w:rsidR="007C26E1" w:rsidRDefault="009F3470">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rsidR="007C26E1" w:rsidRDefault="009F3470">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rsidR="007C26E1" w:rsidRDefault="009F3470">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rsidR="007C26E1" w:rsidRDefault="009F3470">
      <w:pPr>
        <w:tabs>
          <w:tab w:val="left" w:pos="3544"/>
        </w:tabs>
        <w:spacing w:line="276" w:lineRule="auto"/>
        <w:jc w:val="both"/>
      </w:pPr>
      <w:r>
        <w:rPr>
          <w:rFonts w:eastAsia="Calibri"/>
        </w:rPr>
        <w:t>Aláírási joggal felruházott képviselők:</w:t>
      </w:r>
    </w:p>
    <w:p w:rsidR="007C26E1" w:rsidRDefault="009F3470">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w:t>
      </w:r>
      <w:r w:rsidR="00561A21">
        <w:rPr>
          <w:rFonts w:eastAsia="Calibri"/>
        </w:rPr>
        <w:t>-Nagy</w:t>
      </w:r>
      <w:r>
        <w:rPr>
          <w:rFonts w:eastAsia="Calibri"/>
        </w:rPr>
        <w:t xml:space="preserve"> Eszter Beszerzési, környezetvédelmi és </w:t>
      </w:r>
      <w:r>
        <w:rPr>
          <w:rFonts w:eastAsia="Calibri"/>
        </w:rPr>
        <w:tab/>
        <w:t>szállítási üzletág vezető és</w:t>
      </w:r>
    </w:p>
    <w:p w:rsidR="007C26E1" w:rsidRDefault="009F3470">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rsidR="007C26E1" w:rsidRDefault="007C26E1">
      <w:pPr>
        <w:spacing w:line="276" w:lineRule="auto"/>
        <w:jc w:val="both"/>
        <w:rPr>
          <w:rFonts w:eastAsia="Calibri"/>
        </w:rPr>
      </w:pPr>
    </w:p>
    <w:p w:rsidR="007C26E1" w:rsidRDefault="009F3470">
      <w:pPr>
        <w:pStyle w:val="Szvegtrzs20"/>
        <w:shd w:val="clear" w:color="auto" w:fill="auto"/>
        <w:spacing w:before="0" w:after="198" w:line="276" w:lineRule="auto"/>
        <w:rPr>
          <w:sz w:val="24"/>
          <w:szCs w:val="24"/>
        </w:rPr>
      </w:pPr>
      <w:r>
        <w:rPr>
          <w:sz w:val="24"/>
          <w:szCs w:val="24"/>
        </w:rPr>
        <w:t xml:space="preserve">mint eladó </w:t>
      </w:r>
      <w:r>
        <w:rPr>
          <w:rStyle w:val="Szvegtrzs2NemflkvrTrkz0pt"/>
          <w:sz w:val="24"/>
          <w:szCs w:val="24"/>
        </w:rPr>
        <w:t>(a továbbiakban: „</w:t>
      </w:r>
      <w:r>
        <w:rPr>
          <w:sz w:val="24"/>
          <w:szCs w:val="24"/>
        </w:rPr>
        <w:t>Eladó”),</w:t>
      </w:r>
    </w:p>
    <w:p w:rsidR="007C26E1" w:rsidRDefault="009F3470" w:rsidP="00034152">
      <w:pPr>
        <w:pStyle w:val="Szvegtrzs20"/>
        <w:shd w:val="clear" w:color="auto" w:fill="auto"/>
        <w:spacing w:before="0" w:after="0"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rsidR="007C26E1" w:rsidRPr="001F1F69" w:rsidRDefault="00DF0CEF">
      <w:pPr>
        <w:jc w:val="both"/>
        <w:rPr>
          <w:b/>
        </w:rPr>
      </w:pPr>
      <w:r>
        <w:rPr>
          <w:b/>
        </w:rPr>
        <w:t>XXXXXXX</w:t>
      </w:r>
    </w:p>
    <w:p w:rsidR="007C26E1" w:rsidRDefault="009F3470">
      <w:pPr>
        <w:jc w:val="both"/>
      </w:pPr>
      <w:r>
        <w:t xml:space="preserve">Székhely: </w:t>
      </w:r>
      <w:r w:rsidR="001F1F69">
        <w:tab/>
      </w:r>
      <w:r w:rsidR="001F1F69">
        <w:tab/>
      </w:r>
      <w:r>
        <w:t xml:space="preserve">                                                                   </w:t>
      </w:r>
    </w:p>
    <w:p w:rsidR="007C26E1" w:rsidRDefault="009F3470">
      <w:pPr>
        <w:jc w:val="both"/>
      </w:pPr>
      <w:r>
        <w:t>Cégjegyzékszám:  </w:t>
      </w:r>
      <w:r w:rsidR="001F1F69">
        <w:tab/>
      </w:r>
      <w:r>
        <w:t xml:space="preserve"> </w:t>
      </w:r>
    </w:p>
    <w:p w:rsidR="007C26E1" w:rsidRDefault="009F3470">
      <w:pPr>
        <w:jc w:val="both"/>
      </w:pPr>
      <w:r>
        <w:t>Adószám: </w:t>
      </w:r>
      <w:r w:rsidR="001F1F69">
        <w:tab/>
      </w:r>
      <w:r w:rsidR="001F1F69">
        <w:tab/>
      </w:r>
      <w:r>
        <w:t xml:space="preserve"> </w:t>
      </w:r>
    </w:p>
    <w:p w:rsidR="007C26E1" w:rsidRDefault="009F3470">
      <w:pPr>
        <w:jc w:val="both"/>
      </w:pPr>
      <w:r>
        <w:t>KÜJ:   </w:t>
      </w:r>
      <w:r w:rsidR="001F1F69">
        <w:tab/>
      </w:r>
      <w:r w:rsidR="001F1F69">
        <w:tab/>
      </w:r>
      <w:r w:rsidR="001F1F69">
        <w:tab/>
      </w:r>
      <w:r>
        <w:t>                                                                       </w:t>
      </w:r>
    </w:p>
    <w:p w:rsidR="007C26E1" w:rsidRDefault="009F3470">
      <w:pPr>
        <w:jc w:val="both"/>
      </w:pPr>
      <w:r>
        <w:t xml:space="preserve">Fémkereskedelmi engedély száma:                </w:t>
      </w:r>
    </w:p>
    <w:p w:rsidR="007C26E1" w:rsidRDefault="009F3470">
      <w:pPr>
        <w:jc w:val="both"/>
      </w:pPr>
      <w:r>
        <w:t>Szállításban érintett telephely címe: </w:t>
      </w:r>
    </w:p>
    <w:p w:rsidR="007C26E1" w:rsidRDefault="009F3470">
      <w:pPr>
        <w:jc w:val="both"/>
      </w:pPr>
      <w:r>
        <w:t xml:space="preserve">Szállításban érintett telephely fémkereskedelmi engedély száma: </w:t>
      </w:r>
    </w:p>
    <w:p w:rsidR="007C26E1" w:rsidRDefault="009F3470">
      <w:pPr>
        <w:jc w:val="both"/>
      </w:pPr>
      <w:r>
        <w:t xml:space="preserve">KTJ: </w:t>
      </w:r>
    </w:p>
    <w:p w:rsidR="007C26E1" w:rsidRDefault="009F3470">
      <w:pPr>
        <w:jc w:val="both"/>
      </w:pPr>
      <w:r>
        <w:t>Szállításban érintett telephely címe: </w:t>
      </w:r>
    </w:p>
    <w:p w:rsidR="007C26E1" w:rsidRDefault="009F3470">
      <w:pPr>
        <w:jc w:val="both"/>
      </w:pPr>
      <w:r>
        <w:t xml:space="preserve">Szállításban érintett telephely fémkereskedelmi engedély száma: </w:t>
      </w:r>
    </w:p>
    <w:p w:rsidR="007C26E1" w:rsidRDefault="009F3470">
      <w:pPr>
        <w:jc w:val="both"/>
      </w:pPr>
      <w:r>
        <w:t xml:space="preserve">KTJ: </w:t>
      </w:r>
    </w:p>
    <w:p w:rsidR="007C26E1" w:rsidRDefault="009F3470">
      <w:pPr>
        <w:jc w:val="both"/>
      </w:pPr>
      <w:r>
        <w:t>Aláírási joggal felruházott képviselő: </w:t>
      </w:r>
    </w:p>
    <w:p w:rsidR="007C26E1" w:rsidRDefault="009F3470">
      <w:pPr>
        <w:pStyle w:val="Szvegtrzs1"/>
        <w:shd w:val="clear" w:color="auto" w:fill="auto"/>
        <w:spacing w:before="0" w:after="37" w:line="254" w:lineRule="exact"/>
        <w:ind w:firstLine="0"/>
        <w:rPr>
          <w:b/>
          <w:bCs/>
          <w:sz w:val="24"/>
          <w:szCs w:val="24"/>
        </w:rPr>
      </w:pPr>
      <w:r>
        <w:rPr>
          <w:sz w:val="24"/>
          <w:szCs w:val="24"/>
        </w:rPr>
        <w:t xml:space="preserve">Képviselet módja (önálló/együttes): </w:t>
      </w:r>
    </w:p>
    <w:p w:rsidR="007C26E1" w:rsidRDefault="007C26E1">
      <w:pPr>
        <w:pStyle w:val="Szvegtrzs1"/>
        <w:shd w:val="clear" w:color="auto" w:fill="auto"/>
        <w:spacing w:before="0" w:after="0" w:line="276" w:lineRule="auto"/>
        <w:ind w:firstLine="0"/>
        <w:rPr>
          <w:rStyle w:val="SzvegtrzsFlkvrTrkz0pt"/>
          <w:sz w:val="24"/>
          <w:szCs w:val="24"/>
        </w:rPr>
      </w:pPr>
    </w:p>
    <w:p w:rsidR="007C26E1" w:rsidRDefault="009F3470">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sidR="004E0CAF">
        <w:rPr>
          <w:sz w:val="24"/>
          <w:szCs w:val="24"/>
        </w:rPr>
        <w:t>„</w:t>
      </w:r>
      <w:r>
        <w:rPr>
          <w:rStyle w:val="SzvegtrzsFlkvrTrkz0pt"/>
          <w:sz w:val="24"/>
          <w:szCs w:val="24"/>
        </w:rPr>
        <w:t>Vevő</w:t>
      </w:r>
      <w:r w:rsidR="004E0CAF">
        <w:rPr>
          <w:rStyle w:val="SzvegtrzsFlkvrTrkz0pt"/>
          <w:sz w:val="24"/>
          <w:szCs w:val="24"/>
        </w:rPr>
        <w:t>”</w:t>
      </w:r>
      <w:r>
        <w:rPr>
          <w:rStyle w:val="SzvegtrzsFlkvrTrkz0pt"/>
          <w:sz w:val="24"/>
          <w:szCs w:val="24"/>
        </w:rPr>
        <w:t>),</w:t>
      </w:r>
    </w:p>
    <w:p w:rsidR="007C26E1" w:rsidRDefault="007C26E1">
      <w:pPr>
        <w:pStyle w:val="Szvegtrzs1"/>
        <w:shd w:val="clear" w:color="auto" w:fill="auto"/>
        <w:spacing w:before="0" w:after="0" w:line="276" w:lineRule="auto"/>
        <w:ind w:left="120" w:firstLine="0"/>
        <w:rPr>
          <w:sz w:val="24"/>
          <w:szCs w:val="24"/>
        </w:rPr>
      </w:pPr>
    </w:p>
    <w:p w:rsidR="007C26E1" w:rsidRDefault="009F3470">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 xml:space="preserve">az alulírott helyen és </w:t>
      </w:r>
      <w:r>
        <w:rPr>
          <w:sz w:val="24"/>
          <w:szCs w:val="24"/>
        </w:rPr>
        <w:lastRenderedPageBreak/>
        <w:t>napon, az alábbi feltételek szerint:</w:t>
      </w:r>
    </w:p>
    <w:p w:rsidR="007C26E1" w:rsidRDefault="009F3470">
      <w:pPr>
        <w:pStyle w:val="Szvegtrzs20"/>
        <w:shd w:val="clear" w:color="auto" w:fill="auto"/>
        <w:spacing w:before="0" w:after="0" w:line="276" w:lineRule="auto"/>
        <w:jc w:val="center"/>
        <w:rPr>
          <w:sz w:val="24"/>
          <w:szCs w:val="24"/>
        </w:rPr>
      </w:pPr>
      <w:r>
        <w:rPr>
          <w:sz w:val="24"/>
          <w:szCs w:val="24"/>
        </w:rPr>
        <w:t>I. Előzmény</w:t>
      </w:r>
    </w:p>
    <w:p w:rsidR="007C26E1" w:rsidRDefault="007C26E1">
      <w:pPr>
        <w:pStyle w:val="Szvegtrzs20"/>
        <w:shd w:val="clear" w:color="auto" w:fill="auto"/>
        <w:spacing w:before="0" w:after="0" w:line="276" w:lineRule="auto"/>
        <w:jc w:val="center"/>
        <w:rPr>
          <w:sz w:val="24"/>
          <w:szCs w:val="24"/>
        </w:rPr>
      </w:pPr>
    </w:p>
    <w:p w:rsidR="007C26E1" w:rsidRDefault="009F3470">
      <w:pPr>
        <w:pStyle w:val="Szvegtrzs1"/>
        <w:shd w:val="clear" w:color="auto" w:fill="auto"/>
        <w:spacing w:before="0" w:after="244" w:line="276" w:lineRule="auto"/>
        <w:ind w:right="160" w:firstLine="0"/>
        <w:rPr>
          <w:sz w:val="24"/>
          <w:szCs w:val="24"/>
        </w:rPr>
      </w:pPr>
      <w:r>
        <w:rPr>
          <w:sz w:val="24"/>
          <w:szCs w:val="24"/>
        </w:rPr>
        <w:t>Az MNV Zrt. és a MÁV Zrt. megbízási szerződést kötött egymással a Magyar Állam tulajdonában és MÁV Zrt. vagyonkezelésében lévő, MÁV Zrt. tevékenységéhez szükségtelen, selejtezésből származó vissznyereményi ingóságok értékesítésére, mely szerződést az MNV Zrt. honlapján közzétette (www.mnvzrt.hu) SZT-41.150 számon. A MÁV Zrt. ezen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rsidR="007C26E1" w:rsidRDefault="009F3470">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rsidR="007C26E1" w:rsidRDefault="007C26E1">
      <w:pPr>
        <w:pStyle w:val="Szvegtrzs30"/>
        <w:shd w:val="clear" w:color="auto" w:fill="auto"/>
        <w:spacing w:before="0" w:line="276" w:lineRule="auto"/>
        <w:jc w:val="center"/>
        <w:rPr>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rsidR="007C26E1" w:rsidRDefault="007C26E1">
      <w:pPr>
        <w:pStyle w:val="Szvegtrzs1"/>
        <w:shd w:val="clear" w:color="auto" w:fill="auto"/>
        <w:spacing w:before="0" w:after="0" w:line="276" w:lineRule="auto"/>
        <w:ind w:left="360" w:right="240" w:firstLine="0"/>
        <w:rPr>
          <w:b/>
          <w:bCs/>
          <w:i/>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DF0CEF">
        <w:rPr>
          <w:b/>
          <w:bCs/>
          <w:sz w:val="24"/>
          <w:szCs w:val="24"/>
        </w:rPr>
        <w:t>XXXXXX</w:t>
      </w:r>
      <w:r>
        <w:rPr>
          <w:b/>
          <w:bCs/>
          <w:sz w:val="24"/>
          <w:szCs w:val="24"/>
        </w:rPr>
        <w:t>,- Ft,</w:t>
      </w:r>
      <w:r>
        <w:rPr>
          <w:sz w:val="24"/>
          <w:szCs w:val="24"/>
        </w:rPr>
        <w:t xml:space="preserve"> azaz nettó </w:t>
      </w:r>
      <w:r w:rsidR="00DF0CEF">
        <w:rPr>
          <w:sz w:val="24"/>
          <w:szCs w:val="24"/>
        </w:rPr>
        <w:t>XXXXXXXX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rsidR="007C26E1" w:rsidRDefault="007C26E1">
      <w:pPr>
        <w:pStyle w:val="Szvegtrzs1"/>
        <w:shd w:val="clear" w:color="auto" w:fill="auto"/>
        <w:spacing w:before="0" w:after="0" w:line="276" w:lineRule="auto"/>
        <w:ind w:right="240" w:firstLine="0"/>
        <w:rPr>
          <w:sz w:val="24"/>
          <w:szCs w:val="24"/>
        </w:rPr>
      </w:pPr>
    </w:p>
    <w:p w:rsidR="007C26E1" w:rsidRDefault="009F3470">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DF0CEF">
        <w:rPr>
          <w:b/>
          <w:bCs/>
          <w:sz w:val="24"/>
          <w:szCs w:val="24"/>
        </w:rPr>
        <w:t>XXXXXXX</w:t>
      </w:r>
      <w:r>
        <w:rPr>
          <w:rStyle w:val="SzvegtrzsFlkvrTrkz0pt"/>
          <w:b w:val="0"/>
          <w:bCs w:val="0"/>
          <w:sz w:val="24"/>
          <w:szCs w:val="24"/>
        </w:rPr>
        <w:t xml:space="preserve">,- </w:t>
      </w:r>
      <w:r>
        <w:rPr>
          <w:rStyle w:val="SzvegtrzsFlkvrTrkz0pt"/>
          <w:sz w:val="24"/>
          <w:szCs w:val="24"/>
        </w:rPr>
        <w:t xml:space="preserve">Ft </w:t>
      </w:r>
      <w:r>
        <w:rPr>
          <w:rStyle w:val="SzvegtrzsFlkvrTrkz0pt"/>
          <w:b w:val="0"/>
          <w:bCs w:val="0"/>
          <w:sz w:val="24"/>
          <w:szCs w:val="24"/>
        </w:rPr>
        <w:t xml:space="preserve">(azaz nettó </w:t>
      </w:r>
      <w:r w:rsidR="00DF0CEF">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rsidR="007C26E1" w:rsidRDefault="009F3470">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DF0CEF">
        <w:rPr>
          <w:rFonts w:eastAsia="Calibri"/>
          <w:b/>
          <w:bCs/>
          <w:sz w:val="24"/>
          <w:szCs w:val="24"/>
        </w:rPr>
        <w:t>XXXXXXX</w:t>
      </w:r>
      <w:r>
        <w:rPr>
          <w:rFonts w:eastAsia="Calibri"/>
          <w:b/>
          <w:bCs/>
          <w:sz w:val="24"/>
          <w:szCs w:val="24"/>
        </w:rPr>
        <w:t>,- Ft,</w:t>
      </w:r>
      <w:r>
        <w:rPr>
          <w:rFonts w:eastAsia="Calibri"/>
          <w:sz w:val="24"/>
          <w:szCs w:val="24"/>
        </w:rPr>
        <w:t xml:space="preserve"> azaz nettó </w:t>
      </w:r>
      <w:r w:rsidR="00DF0CEF">
        <w:rPr>
          <w:rFonts w:eastAsia="Calibri"/>
          <w:sz w:val="24"/>
          <w:szCs w:val="24"/>
        </w:rPr>
        <w:t>XXXXXXX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rsidR="007C26E1" w:rsidRDefault="007C26E1">
      <w:pPr>
        <w:pStyle w:val="Szvegtrzs1"/>
        <w:shd w:val="clear" w:color="auto" w:fill="auto"/>
        <w:spacing w:before="0" w:after="0" w:line="276" w:lineRule="auto"/>
        <w:ind w:left="360" w:right="240" w:firstLine="0"/>
        <w:jc w:val="left"/>
        <w:rPr>
          <w:sz w:val="24"/>
          <w:szCs w:val="24"/>
        </w:rPr>
      </w:pPr>
    </w:p>
    <w:p w:rsidR="007C26E1" w:rsidRDefault="009F3470">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rsidR="007C26E1" w:rsidRDefault="009F3470">
      <w:pPr>
        <w:pStyle w:val="Szvegtrzs1"/>
        <w:shd w:val="clear" w:color="auto" w:fill="auto"/>
        <w:spacing w:before="0" w:after="0" w:line="276" w:lineRule="auto"/>
        <w:ind w:left="360" w:right="240" w:firstLine="0"/>
        <w:rPr>
          <w:sz w:val="24"/>
          <w:szCs w:val="24"/>
        </w:rPr>
      </w:pPr>
      <w:r>
        <w:rPr>
          <w:i/>
          <w:sz w:val="24"/>
          <w:szCs w:val="24"/>
        </w:rPr>
        <w:t xml:space="preserve"> </w:t>
      </w:r>
    </w:p>
    <w:p w:rsidR="007C26E1" w:rsidRDefault="009F3470">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 xml:space="preserve">során felmerülő ÁFA felszámítására, és a Nemzeti Adó- és Vámhivatalnak, mint állami adóhatóságnak történő megfizetésére a </w:t>
      </w:r>
      <w:r>
        <w:rPr>
          <w:sz w:val="24"/>
          <w:szCs w:val="24"/>
        </w:rPr>
        <w:lastRenderedPageBreak/>
        <w:t>Vevő köteles, a Felek közti birtokbaadás és elszámolás után a végső vételár alapján.</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rsidR="007C26E1" w:rsidRDefault="009F3470">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rsidR="007C26E1" w:rsidRDefault="009F3470">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rsidR="007C26E1" w:rsidRDefault="009F3470">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rsidR="007C26E1" w:rsidRDefault="009F3470">
      <w:pPr>
        <w:pStyle w:val="Listaszerbekezds"/>
        <w:spacing w:line="276" w:lineRule="auto"/>
        <w:jc w:val="both"/>
        <w:rPr>
          <w:rFonts w:eastAsia="Calibri"/>
        </w:rPr>
      </w:pPr>
      <w:r>
        <w:rPr>
          <w:rFonts w:eastAsia="Calibri"/>
        </w:rPr>
        <w:t>a) az adózás rendjéről szóló 2017. évi CL. törvény 260. § (1) bekezdés  a) pontja szerint – mind az árverés megkezdésének, illetve mind a szerződés megkötésének időpontjában - nem minősül köztartozásmentes adózónak, vagy</w:t>
      </w:r>
    </w:p>
    <w:p w:rsidR="007C26E1" w:rsidRDefault="009F3470">
      <w:pPr>
        <w:pStyle w:val="Listaszerbekezds"/>
        <w:spacing w:line="276" w:lineRule="auto"/>
        <w:jc w:val="both"/>
        <w:rPr>
          <w:rFonts w:eastAsia="Calibri"/>
        </w:rPr>
      </w:pPr>
      <w:r>
        <w:rPr>
          <w:rFonts w:eastAsia="Calibri"/>
        </w:rPr>
        <w:t>b) az MNV Zrt.-vel szemben a szerződés megkötésének időpontjában lejárt tartozással rendelkezik,</w:t>
      </w:r>
    </w:p>
    <w:p w:rsidR="007C26E1" w:rsidRDefault="009F3470">
      <w:pPr>
        <w:spacing w:line="276" w:lineRule="auto"/>
        <w:ind w:left="426"/>
        <w:jc w:val="both"/>
        <w:rPr>
          <w:rFonts w:eastAsia="Calibri"/>
        </w:rPr>
      </w:pPr>
      <w:r>
        <w:rPr>
          <w:rFonts w:eastAsia="Calibri"/>
        </w:rPr>
        <w:t>abban az esetben Eladó  jogosult jelen szerződéstől egyoldalúan, azonnali hatállyal, kártalanítási kötelezettség nélkül elállni.</w:t>
      </w:r>
    </w:p>
    <w:p w:rsidR="007C26E1" w:rsidRDefault="009F3470">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r>
        <w:rPr>
          <w:b/>
          <w:bCs/>
          <w:sz w:val="24"/>
          <w:szCs w:val="24"/>
        </w:rPr>
        <w:t>Nvtv</w:t>
      </w:r>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Az MNV Zrt. az Előleg2 összegéről - a jóváírás dátumával megegyező teljesítési időponttal </w:t>
      </w:r>
      <w:r>
        <w:rPr>
          <w:sz w:val="24"/>
          <w:szCs w:val="24"/>
        </w:rPr>
        <w:lastRenderedPageBreak/>
        <w:t>-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rsidR="007C26E1" w:rsidRDefault="009F3470" w:rsidP="0049229D">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és egyúttal tudomásul veszik, hogy az Előleg2 megfizetését az MNV Zrt. annak MNV Zrt. számlájára történő beérkezését követő 5 munkanapon belül elektronikus úton igazolja vissza a MÁV Zrt.-nek. </w:t>
      </w:r>
      <w:r>
        <w:rPr>
          <w:b/>
          <w:bCs/>
          <w:sz w:val="24"/>
          <w:szCs w:val="24"/>
        </w:rPr>
        <w:t>A birtokátruházásra a szállításra történő átadással, szállításkísérő dokumentum felvételével kerül sor, az MNV Zrt. Előleg2 megfizetésére vonatkozó visszaigazolásának a MÁV Zrt.-hez történő megérkezését követően</w:t>
      </w:r>
      <w:r w:rsidR="0049229D">
        <w:rPr>
          <w:b/>
          <w:bCs/>
          <w:sz w:val="24"/>
          <w:szCs w:val="24"/>
        </w:rPr>
        <w:t xml:space="preserve"> </w:t>
      </w:r>
      <w:r w:rsidR="0049229D" w:rsidRPr="0049229D">
        <w:rPr>
          <w:b/>
          <w:bCs/>
          <w:sz w:val="24"/>
          <w:szCs w:val="24"/>
        </w:rPr>
        <w:t>60 napon belül</w:t>
      </w:r>
      <w:bookmarkStart w:id="0" w:name="_GoBack"/>
      <w:bookmarkEnd w:id="0"/>
      <w:r>
        <w:rPr>
          <w:b/>
          <w:bCs/>
          <w:sz w:val="24"/>
          <w:szCs w:val="24"/>
        </w:rPr>
        <w:t xml:space="preserve"> egyeztetett időpont(ok)</w:t>
      </w:r>
      <w:proofErr w:type="spellStart"/>
      <w:r>
        <w:rPr>
          <w:b/>
          <w:bCs/>
          <w:sz w:val="24"/>
          <w:szCs w:val="24"/>
        </w:rPr>
        <w:t>ban</w:t>
      </w:r>
      <w:proofErr w:type="spellEnd"/>
      <w:r w:rsidR="001F1F69">
        <w:rPr>
          <w:b/>
          <w:bCs/>
          <w:sz w:val="24"/>
          <w:szCs w:val="24"/>
        </w:rPr>
        <w:t xml:space="preserve">, de </w:t>
      </w:r>
      <w:r w:rsidR="001F1F69" w:rsidRPr="001F1F69">
        <w:rPr>
          <w:b/>
          <w:bCs/>
          <w:sz w:val="24"/>
          <w:szCs w:val="24"/>
        </w:rPr>
        <w:t>legkésőbb 202</w:t>
      </w:r>
      <w:r w:rsidR="00561A21">
        <w:rPr>
          <w:b/>
          <w:bCs/>
          <w:sz w:val="24"/>
          <w:szCs w:val="24"/>
        </w:rPr>
        <w:t>4</w:t>
      </w:r>
      <w:r w:rsidR="001F1F69" w:rsidRPr="001F1F69">
        <w:rPr>
          <w:b/>
          <w:bCs/>
          <w:sz w:val="24"/>
          <w:szCs w:val="24"/>
        </w:rPr>
        <w:t>.0</w:t>
      </w:r>
      <w:r w:rsidR="00561A21">
        <w:rPr>
          <w:b/>
          <w:bCs/>
          <w:sz w:val="24"/>
          <w:szCs w:val="24"/>
        </w:rPr>
        <w:t>6</w:t>
      </w:r>
      <w:r w:rsidR="001F1F69" w:rsidRPr="001F1F69">
        <w:rPr>
          <w:b/>
          <w:bCs/>
          <w:sz w:val="24"/>
          <w:szCs w:val="24"/>
        </w:rPr>
        <w:t>.</w:t>
      </w:r>
      <w:r w:rsidR="00FC1819">
        <w:rPr>
          <w:b/>
          <w:bCs/>
          <w:sz w:val="24"/>
          <w:szCs w:val="24"/>
        </w:rPr>
        <w:t>2</w:t>
      </w:r>
      <w:r w:rsidR="00561A21">
        <w:rPr>
          <w:b/>
          <w:bCs/>
          <w:sz w:val="24"/>
          <w:szCs w:val="24"/>
        </w:rPr>
        <w:t>0</w:t>
      </w:r>
      <w:r w:rsidR="001F1F69">
        <w:rPr>
          <w:b/>
          <w:bCs/>
          <w:sz w:val="24"/>
          <w:szCs w:val="24"/>
        </w:rPr>
        <w:t>. napjá</w:t>
      </w:r>
      <w:r w:rsidR="001F1F69" w:rsidRPr="001F1F69">
        <w:rPr>
          <w:b/>
          <w:bCs/>
          <w:sz w:val="24"/>
          <w:szCs w:val="24"/>
        </w:rPr>
        <w:t>ig</w:t>
      </w:r>
      <w:r>
        <w:rPr>
          <w:b/>
          <w:bCs/>
          <w:sz w:val="24"/>
          <w:szCs w:val="24"/>
        </w:rPr>
        <w:t xml:space="preserve"> történhet.</w:t>
      </w:r>
      <w:r>
        <w:rPr>
          <w:sz w:val="24"/>
          <w:szCs w:val="24"/>
        </w:rPr>
        <w:t xml:space="preserve"> Amennyiben több időpontban kerül sor a birtokbaadásra, a végszámla teljesítési időpontja az utolsó birtokbaadás napja.  Felek rögzítik, hogy jelen pont szerint a Hulladékanyag elszállítására a </w:t>
      </w:r>
      <w:r>
        <w:rPr>
          <w:b/>
          <w:bCs/>
          <w:sz w:val="24"/>
          <w:szCs w:val="24"/>
        </w:rPr>
        <w:t>teljesítési határidő 202</w:t>
      </w:r>
      <w:r w:rsidR="00561A21">
        <w:rPr>
          <w:b/>
          <w:bCs/>
          <w:sz w:val="24"/>
          <w:szCs w:val="24"/>
        </w:rPr>
        <w:t>4</w:t>
      </w:r>
      <w:r>
        <w:rPr>
          <w:b/>
          <w:bCs/>
          <w:sz w:val="24"/>
          <w:szCs w:val="24"/>
        </w:rPr>
        <w:t>.0</w:t>
      </w:r>
      <w:r w:rsidR="00561A21">
        <w:rPr>
          <w:b/>
          <w:bCs/>
          <w:sz w:val="24"/>
          <w:szCs w:val="24"/>
        </w:rPr>
        <w:t>6</w:t>
      </w:r>
      <w:r>
        <w:rPr>
          <w:b/>
          <w:bCs/>
          <w:sz w:val="24"/>
          <w:szCs w:val="24"/>
        </w:rPr>
        <w:t>.</w:t>
      </w:r>
      <w:r w:rsidR="00FC1819">
        <w:rPr>
          <w:b/>
          <w:bCs/>
          <w:sz w:val="24"/>
          <w:szCs w:val="24"/>
        </w:rPr>
        <w:t>2</w:t>
      </w:r>
      <w:r w:rsidR="00561A21">
        <w:rPr>
          <w:b/>
          <w:bCs/>
          <w:sz w:val="24"/>
          <w:szCs w:val="24"/>
        </w:rPr>
        <w:t>0</w:t>
      </w:r>
      <w:r>
        <w:rPr>
          <w:b/>
          <w:bCs/>
          <w:sz w:val="24"/>
          <w:szCs w:val="24"/>
        </w:rPr>
        <w:t>.</w:t>
      </w:r>
      <w:r w:rsidR="001F1F69">
        <w:rPr>
          <w:b/>
          <w:bCs/>
          <w:sz w:val="24"/>
          <w:szCs w:val="24"/>
        </w:rPr>
        <w:t xml:space="preserve"> napja</w:t>
      </w:r>
      <w:r>
        <w:rPr>
          <w:b/>
          <w:bCs/>
          <w:sz w:val="24"/>
          <w:szCs w:val="24"/>
        </w:rPr>
        <w:t>,</w:t>
      </w:r>
      <w:r>
        <w:rPr>
          <w:sz w:val="24"/>
          <w:szCs w:val="24"/>
        </w:rPr>
        <w:t xml:space="preserve"> melynek Vevő általi megsértése kötbérfizetési kötelezettséget vonhat maga után.</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-kal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rsidR="007C26E1" w:rsidRDefault="009F3470">
      <w:pPr>
        <w:pStyle w:val="Listaszerbekezds"/>
        <w:numPr>
          <w:ilvl w:val="0"/>
          <w:numId w:val="1"/>
        </w:numPr>
        <w:spacing w:line="276" w:lineRule="auto"/>
        <w:ind w:left="426" w:hanging="426"/>
        <w:jc w:val="both"/>
        <w:rPr>
          <w:spacing w:val="-2"/>
        </w:rPr>
      </w:pPr>
      <w:r>
        <w:rPr>
          <w:spacing w:val="-2"/>
        </w:rPr>
        <w:t>Vevő tudomásul veszi, hogy az MNV Zrt.-vel szembeni bármilyen követelését a MÁV Zrt.-től nem követelheti. Az MNV Zrt. esetleges nem fizetéséért és fizetési késedelméért a MÁV Zrt. a felelősségét kizárja.</w:t>
      </w:r>
    </w:p>
    <w:p w:rsidR="007C26E1" w:rsidRDefault="007C26E1">
      <w:pPr>
        <w:pStyle w:val="Szvegtrzs1"/>
        <w:shd w:val="clear" w:color="auto" w:fill="auto"/>
        <w:spacing w:before="0" w:after="0" w:line="276" w:lineRule="auto"/>
        <w:ind w:left="420" w:right="40" w:firstLine="0"/>
        <w:rPr>
          <w:sz w:val="24"/>
          <w:szCs w:val="24"/>
        </w:rPr>
      </w:pP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 birtokátruházással a kárveszély viselése Vevőre átszáll. Amennyiben Vevő a birtokátruházásra a MÁV Zrt.-vel előre egyeztetett időpontot elmulasztja, attól kezdve a Hulladékanyag tekintetében a kárveszélyt a Vevő viseli.</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32"/>
          <w:szCs w:val="32"/>
        </w:rPr>
      </w:pPr>
      <w:r>
        <w:rPr>
          <w:sz w:val="24"/>
          <w:szCs w:val="24"/>
        </w:rPr>
        <w:t>Vevő jelen okirat aláírásával kötelezettséget vállal arra, hogy a Hulladékanyagot a birtok átruházását követően haladéktalanul elszállítja, illetve a szállítást megkezdi a 4. sz. Környezetvédelmi mellékletben foglaltak betartásával.</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40"/>
          <w:szCs w:val="40"/>
        </w:rPr>
      </w:pPr>
      <w:r>
        <w:rPr>
          <w:sz w:val="24"/>
          <w:szCs w:val="24"/>
        </w:rPr>
        <w:t xml:space="preserve">A Hulladékanyag bontása, darabolása, vágása, rakodása, mérlegelése, elszállítása a Vevő feladata és költsége. A Hulladékanyag darabolását MÁV Zrt. ellenőrzi. A konverterbe nem adagolható hulladék esetében az anyag mérlegelésekor a darabolási veszteségre – ha a Vevő az eladott anyagot darabolás után szállítja el – MÁV Zrt. 1%-ot számít fel. Bontás, darabolás, vágás után a megőrzési felelősség a Vevőé.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A Hulladékanyag rakodása és szállítása kizárólag munkanapokon, munkaidőben az 1. számú mellékletben meghatározott kapcsolattartóval történt előzetes, telefonon történő egyeztetés alapján, a MÁV Zrt. anyagilag felelős dolgozója jelenlétében történhet. A tárolási területre történő belépéshez szükséges engedély beszerzése, valamint tételesen a mérlegjegyek összegyűjtése és a jelen pont szerinti MÁV Zrt. dolgozó részére történő átadása a Vevő feladata és költsége.</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Közúti szállítás esetén a Vevő kötelessége és költsége mind az üres, mind a berakodott állapotú tehergépkocsi mérlegelése. A mérlegelés valamennyi költségét Vevő viseli. Közúti szállítás esetén a mérlegelés (MKEH-nak a telepítés helye szerinti illetékes mérésügyi szerve által hitelesített hídmérlegen) üresen és rakottan kizárólag a felek által előzetesen egyeztetett vagy az átadás helyéhez – településen belül – legközelebb eső mérlegelési helyen, a MÁV Zrt. anyagilag felelős dolgozójának jelenlétében történhet.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w:t>
      </w:r>
      <w:r>
        <w:rPr>
          <w:sz w:val="24"/>
          <w:szCs w:val="24"/>
        </w:rPr>
        <w:lastRenderedPageBreak/>
        <w:t xml:space="preserve">az adásvételi szerződésben meghatározott Hulladékanyagon harmadik személynek nem áll fenn olyan joga, mely a Vevő tulajdonszerzését akadályozza, illetve korlátozza.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rsidR="007C26E1" w:rsidRDefault="009F3470">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 az átvétel helyszínén, elszállítás előtt jellegétől megfosztani.</w:t>
      </w:r>
    </w:p>
    <w:p w:rsidR="007C26E1" w:rsidRDefault="009F3470">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Eladó a ki nem fizetett Hulladékanyag tekintetében a teljes vételár megfizetéséig tulajdonjog fenntartással él, azaz Vevő mindaddig nem jogosult a többletként átvett anyagot továbbértékesíteni, míg a teljes vételár megfizetésre nem kerül.</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rsidR="007C26E1" w:rsidRDefault="009F3470">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rsidR="007C26E1" w:rsidRDefault="009F3470">
      <w:pPr>
        <w:widowControl w:val="0"/>
        <w:spacing w:line="276" w:lineRule="auto"/>
        <w:ind w:left="420" w:right="1"/>
        <w:jc w:val="both"/>
      </w:pPr>
      <w:r>
        <w:t>A kötbér mértéke:</w:t>
      </w:r>
    </w:p>
    <w:p w:rsidR="007C26E1" w:rsidRDefault="009F3470">
      <w:pPr>
        <w:widowControl w:val="0"/>
        <w:numPr>
          <w:ilvl w:val="0"/>
          <w:numId w:val="2"/>
        </w:numPr>
        <w:spacing w:line="276" w:lineRule="auto"/>
        <w:ind w:right="1"/>
        <w:jc w:val="both"/>
      </w:pPr>
      <w:r>
        <w:t>szállítási késedelem esetén: napi 0,5 %, de maximum 30%,</w:t>
      </w:r>
    </w:p>
    <w:p w:rsidR="007C26E1" w:rsidRDefault="009F3470">
      <w:pPr>
        <w:widowControl w:val="0"/>
        <w:numPr>
          <w:ilvl w:val="0"/>
          <w:numId w:val="2"/>
        </w:numPr>
        <w:spacing w:line="276" w:lineRule="auto"/>
        <w:ind w:right="1"/>
        <w:jc w:val="both"/>
      </w:pPr>
      <w:r>
        <w:t xml:space="preserve">nem teljesítés esetén: 30 %, </w:t>
      </w:r>
    </w:p>
    <w:p w:rsidR="007C26E1" w:rsidRDefault="009F3470">
      <w:pPr>
        <w:widowControl w:val="0"/>
        <w:numPr>
          <w:ilvl w:val="0"/>
          <w:numId w:val="2"/>
        </w:numPr>
        <w:spacing w:line="276" w:lineRule="auto"/>
        <w:ind w:right="1"/>
        <w:jc w:val="both"/>
      </w:pPr>
      <w:r>
        <w:t xml:space="preserve">a jogszabály szerint illetékes hatósághoz történő hulladékbevallás nem teljesítése esetén: 20 %. </w:t>
      </w:r>
    </w:p>
    <w:p w:rsidR="007C26E1" w:rsidRDefault="007C26E1">
      <w:pPr>
        <w:widowControl w:val="0"/>
        <w:spacing w:line="276" w:lineRule="auto"/>
        <w:ind w:right="1"/>
        <w:jc w:val="both"/>
      </w:pPr>
    </w:p>
    <w:p w:rsidR="007C26E1" w:rsidRDefault="009F3470">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 xml:space="preserve">Vevőt ezen </w:t>
      </w:r>
      <w:r>
        <w:lastRenderedPageBreak/>
        <w:t>esetben kártérítés, vagy kártalanítás nem illeti meg, továbbá Vevő elveszti az Árverési biztosítékot. Vevő azonban köteles a kötbér mértékét meghaladóan az Eladó valamennyi igazolt, a szerződésszegés kapcsán felmerült kárát érvényesíteni.</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21. pontjában megjelölt elérhetőségére megküldeni és a MÁV Zrt. kapcsolattartójának bemutatni. Ezen kötelezettség elmulasztása esetén Eladó a 4. pontban megjelölt nettó előzetes vételár 20%-nak megfelelő mértékű kötbér kiszabására jogosult.</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 xml:space="preserve">Amennyiben a Vevő a MÁV Zrt. biztonsági szervezete jelen Szerződésben meghatározott </w:t>
      </w:r>
      <w:r>
        <w:rPr>
          <w:b/>
          <w:bCs/>
        </w:rPr>
        <w:t>ellenőrzési</w:t>
      </w:r>
      <w:r>
        <w:t xml:space="preserve"> jogát akadályozza, vagy ezt megkísérli és/vagy az ellenőrzés során téves adatot, információt szolgáltat, kötbért köteles fizetni, melynek mértéke: 20.000,- Ft / alkalom.</w:t>
      </w:r>
    </w:p>
    <w:p w:rsidR="007C26E1" w:rsidRDefault="007C26E1">
      <w:pPr>
        <w:widowControl w:val="0"/>
        <w:spacing w:line="276" w:lineRule="auto"/>
        <w:ind w:left="426" w:right="1"/>
        <w:jc w:val="both"/>
      </w:pPr>
    </w:p>
    <w:p w:rsidR="007C26E1" w:rsidRDefault="009F3470">
      <w:pPr>
        <w:widowControl w:val="0"/>
        <w:spacing w:line="276" w:lineRule="auto"/>
        <w:ind w:left="360" w:right="1"/>
        <w:jc w:val="both"/>
      </w:pPr>
      <w:r>
        <w:t>A kötbér esedékessé válik:</w:t>
      </w:r>
    </w:p>
    <w:p w:rsidR="007C26E1" w:rsidRDefault="009F3470">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rsidR="007C26E1" w:rsidRDefault="009F3470">
      <w:pPr>
        <w:widowControl w:val="0"/>
        <w:numPr>
          <w:ilvl w:val="0"/>
          <w:numId w:val="4"/>
        </w:numPr>
        <w:spacing w:line="276" w:lineRule="auto"/>
        <w:ind w:right="1"/>
        <w:jc w:val="both"/>
      </w:pPr>
      <w:r>
        <w:t>nem teljesítési kötbér esetén, ha az Eladó elállását vagy felmondását a Vevőnek bejelentette,</w:t>
      </w:r>
    </w:p>
    <w:p w:rsidR="007C26E1" w:rsidRDefault="009F3470">
      <w:pPr>
        <w:widowControl w:val="0"/>
        <w:numPr>
          <w:ilvl w:val="0"/>
          <w:numId w:val="4"/>
        </w:numPr>
        <w:spacing w:line="276" w:lineRule="auto"/>
        <w:ind w:right="1"/>
        <w:jc w:val="both"/>
      </w:pPr>
      <w:r>
        <w:t>a hulladékbevallás nem teljesítése, illetve egyéb kötbérek esetén az Eladó ezzel kapcsolatos igényének bejelentésekor.</w:t>
      </w:r>
    </w:p>
    <w:p w:rsidR="007C26E1" w:rsidRDefault="007C26E1">
      <w:pPr>
        <w:widowControl w:val="0"/>
        <w:spacing w:line="276" w:lineRule="auto"/>
        <w:ind w:left="360" w:right="1"/>
        <w:jc w:val="both"/>
      </w:pPr>
    </w:p>
    <w:p w:rsidR="007C26E1" w:rsidRDefault="009F3470">
      <w:pPr>
        <w:widowControl w:val="0"/>
        <w:spacing w:line="276" w:lineRule="auto"/>
        <w:ind w:left="360" w:right="1"/>
        <w:jc w:val="both"/>
      </w:pPr>
      <w:r>
        <w:t xml:space="preserve">A kötbérre vonatkozó fizetési határidő 8 munkanap. </w:t>
      </w:r>
    </w:p>
    <w:p w:rsidR="007C26E1" w:rsidRDefault="009F3470">
      <w:pPr>
        <w:widowControl w:val="0"/>
        <w:spacing w:line="276" w:lineRule="auto"/>
        <w:ind w:left="360" w:right="1"/>
        <w:jc w:val="both"/>
      </w:pPr>
      <w:r>
        <w:t>Vevő a Ptk. szerinti felelősséggel tartozik a szállítás, rakodás, mérlegelés, stb. során bekövetkezett károkért.</w:t>
      </w:r>
    </w:p>
    <w:p w:rsidR="007C26E1" w:rsidRDefault="009F3470">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rsidR="007C26E1" w:rsidRDefault="009F3470">
      <w:pPr>
        <w:pStyle w:val="Szvegtrzs1"/>
        <w:numPr>
          <w:ilvl w:val="0"/>
          <w:numId w:val="1"/>
        </w:numPr>
        <w:shd w:val="clear" w:color="auto" w:fill="auto"/>
        <w:spacing w:before="120" w:after="180" w:line="276" w:lineRule="auto"/>
        <w:ind w:left="420" w:right="40" w:hanging="420"/>
        <w:rPr>
          <w:sz w:val="24"/>
          <w:szCs w:val="24"/>
        </w:rPr>
      </w:pPr>
      <w:r>
        <w:rPr>
          <w:sz w:val="24"/>
          <w:szCs w:val="24"/>
        </w:rPr>
        <w:t xml:space="preserve">Az Eladóval, illetve a MÁV Zrt-vel szembeni bármilyen követelés engedményezése (ideértve annak faktorálását is), továbbá az Eladóval, illetve a MÁV Zrt-vel szembeni bármilyen követelésen zálogjog alapítása csak az Eladó/MÁV Zrt. előzetes írásos </w:t>
      </w:r>
      <w:r>
        <w:rPr>
          <w:sz w:val="24"/>
          <w:szCs w:val="24"/>
        </w:rPr>
        <w:lastRenderedPageBreak/>
        <w:t>jóváhagyásával lehetséges. Az Eladó vagy a MÁV Zrt. írásos jóváhagyása nélküli engedményezéssel, zálogjog alapítással Vevő szerződésszegést követ el az Eladóval/MÁV Zrt-vel szemben, melynek alapján Vevőt kártérítési felelősség terheli.</w:t>
      </w:r>
    </w:p>
    <w:p w:rsidR="007C26E1" w:rsidRDefault="009F3470">
      <w:pPr>
        <w:spacing w:after="200" w:line="276" w:lineRule="auto"/>
        <w:jc w:val="center"/>
        <w:rPr>
          <w:b/>
          <w:bCs/>
        </w:rPr>
      </w:pPr>
      <w:r>
        <w:rPr>
          <w:b/>
          <w:bCs/>
        </w:rPr>
        <w:t>III. Egyéb rendelkezések</w:t>
      </w:r>
    </w:p>
    <w:p w:rsidR="007C26E1" w:rsidRDefault="007C26E1">
      <w:pPr>
        <w:pStyle w:val="Szvegtrzs1"/>
        <w:shd w:val="clear" w:color="auto" w:fill="auto"/>
        <w:spacing w:before="120" w:after="0" w:line="276" w:lineRule="auto"/>
        <w:ind w:right="40" w:firstLine="0"/>
        <w:jc w:val="center"/>
        <w:rPr>
          <w:b/>
          <w:bCs/>
          <w:sz w:val="24"/>
          <w:szCs w:val="24"/>
        </w:rPr>
      </w:pPr>
    </w:p>
    <w:p w:rsidR="007C26E1" w:rsidRDefault="009F3470">
      <w:pPr>
        <w:spacing w:line="276" w:lineRule="auto"/>
        <w:jc w:val="both"/>
        <w:rPr>
          <w:rFonts w:eastAsia="Calibri"/>
        </w:rPr>
      </w:pPr>
      <w:r>
        <w:rPr>
          <w:rFonts w:eastAsia="Calibri"/>
          <w:b/>
          <w:bCs/>
        </w:rPr>
        <w:t xml:space="preserve">1. </w:t>
      </w:r>
      <w:r>
        <w:rPr>
          <w:rFonts w:eastAsia="Calibri"/>
          <w:b/>
          <w:bCs/>
        </w:rPr>
        <w:tab/>
        <w:t>A szerződés hatálya, megszűnése</w:t>
      </w:r>
    </w:p>
    <w:p w:rsidR="007C26E1" w:rsidRDefault="007C26E1">
      <w:pPr>
        <w:spacing w:line="276" w:lineRule="auto"/>
        <w:jc w:val="both"/>
        <w:rPr>
          <w:rFonts w:eastAsia="Calibri"/>
        </w:rPr>
      </w:pPr>
    </w:p>
    <w:p w:rsidR="007C26E1" w:rsidRDefault="009F3470">
      <w:pPr>
        <w:jc w:val="both"/>
        <w:rPr>
          <w:rFonts w:eastAsia="Calibri"/>
        </w:rPr>
      </w:pPr>
      <w:r>
        <w:rPr>
          <w:rFonts w:eastAsia="Calibri"/>
        </w:rPr>
        <w:t>Jelen szerződés a mindkét Fél általi aláírás napján lép hatályba, amennyiben arra különböző időpontban kerül sor, úgy a későbbi aláírás kelte a hatálybalépés napja.</w:t>
      </w:r>
    </w:p>
    <w:p w:rsidR="007C26E1" w:rsidRDefault="00034152">
      <w:pPr>
        <w:spacing w:line="276" w:lineRule="auto"/>
        <w:jc w:val="both"/>
        <w:rPr>
          <w:rFonts w:eastAsia="Calibri"/>
        </w:rPr>
      </w:pPr>
      <w:r>
        <w:rPr>
          <w:rFonts w:eastAsia="Calibri"/>
        </w:rPr>
        <w:t>A jelen szerződés</w:t>
      </w:r>
      <w:r w:rsidR="009F3470">
        <w:rPr>
          <w:rFonts w:eastAsia="Calibri"/>
        </w:rPr>
        <w:t xml:space="preserve"> a szerződésben rögzített kötelezettségek Felek általi maradéktalan teljesítéséig hatályos.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rsidR="007C26E1" w:rsidRDefault="009F3470">
      <w:pPr>
        <w:spacing w:line="276" w:lineRule="auto"/>
        <w:jc w:val="both"/>
        <w:rPr>
          <w:rFonts w:eastAsia="Calibri"/>
          <w:b/>
          <w:bCs/>
          <w:i/>
        </w:rPr>
      </w:pPr>
      <w:r>
        <w:rPr>
          <w:rFonts w:eastAsia="Calibri"/>
          <w:b/>
          <w:bCs/>
          <w:i/>
        </w:rPr>
        <w:tab/>
      </w:r>
    </w:p>
    <w:p w:rsidR="007C26E1" w:rsidRDefault="009F3470">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rendkívüli felmondás útján is megszüntethető. Az azonnali hatályú, rendkívüli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rsidR="007C26E1" w:rsidRDefault="007C26E1">
      <w:pPr>
        <w:tabs>
          <w:tab w:val="left" w:pos="567"/>
        </w:tabs>
        <w:spacing w:line="276" w:lineRule="auto"/>
        <w:ind w:firstLine="426"/>
        <w:jc w:val="both"/>
        <w:rPr>
          <w:rFonts w:eastAsia="Calibri"/>
        </w:rPr>
      </w:pPr>
    </w:p>
    <w:p w:rsidR="007C26E1" w:rsidRDefault="009F3470">
      <w:pPr>
        <w:tabs>
          <w:tab w:val="left" w:pos="567"/>
        </w:tabs>
        <w:spacing w:line="276" w:lineRule="auto"/>
        <w:jc w:val="both"/>
        <w:rPr>
          <w:rFonts w:eastAsia="Calibri"/>
        </w:rPr>
      </w:pPr>
      <w:r>
        <w:rPr>
          <w:rFonts w:eastAsia="Calibri"/>
        </w:rPr>
        <w:t xml:space="preserve">Azonnali hatályú, rendkívüli felmondási okok az Eladó részéről különösen: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7C26E1" w:rsidRDefault="009F3470">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rsidR="007C26E1" w:rsidRDefault="009F3470">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rsidR="007C26E1" w:rsidRDefault="009F3470">
      <w:pPr>
        <w:pStyle w:val="Listaszerbekezds"/>
        <w:widowControl w:val="0"/>
        <w:numPr>
          <w:ilvl w:val="0"/>
          <w:numId w:val="5"/>
        </w:numPr>
        <w:spacing w:line="276" w:lineRule="auto"/>
        <w:jc w:val="both"/>
        <w:rPr>
          <w:rFonts w:eastAsia="Calibri"/>
        </w:rPr>
      </w:pPr>
      <w:r>
        <w:rPr>
          <w:rFonts w:eastAsia="Calibri"/>
        </w:rPr>
        <w:t xml:space="preserve">Eladó jogosult azonnali hatállyal felmondani a jelen szerződést, ha a Vevő a fémhulladék elszállítására és kereskedelmére vonatkozó, jelen szerződés </w:t>
      </w:r>
      <w:r>
        <w:rPr>
          <w:rFonts w:eastAsia="Calibri"/>
        </w:rPr>
        <w:lastRenderedPageBreak/>
        <w:t>szempontjából releváns bármely hatósági engedélye megszűnik.</w:t>
      </w:r>
    </w:p>
    <w:p w:rsidR="007C26E1" w:rsidRDefault="009F3470">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rsidR="007C26E1" w:rsidRDefault="007C26E1">
      <w:pPr>
        <w:widowControl w:val="0"/>
        <w:spacing w:line="276" w:lineRule="auto"/>
        <w:ind w:firstLine="567"/>
        <w:jc w:val="both"/>
        <w:rPr>
          <w:rFonts w:eastAsia="Calibri"/>
        </w:rPr>
      </w:pPr>
    </w:p>
    <w:p w:rsidR="007C26E1" w:rsidRDefault="009F3470">
      <w:pPr>
        <w:widowControl w:val="0"/>
        <w:spacing w:line="276" w:lineRule="auto"/>
        <w:jc w:val="both"/>
        <w:rPr>
          <w:rFonts w:eastAsia="Calibri"/>
        </w:rPr>
      </w:pPr>
      <w:r>
        <w:rPr>
          <w:rFonts w:eastAsia="Calibri"/>
        </w:rPr>
        <w:t>Azonnali hatályú, rendkívüli felmondási okok a Vevő részéről:</w:t>
      </w:r>
    </w:p>
    <w:p w:rsidR="007C26E1" w:rsidRDefault="009F3470">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Felek megállapodnak abban, hogy az Eladó az azonnali hatályú, rendkívüli felmondást megalapozó körülmények felmerülése esetében jogosult választása szerint az elállás jogát gyakorolni.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Eladó fentieken túl is jogosult a Ptk. 6:213. § (1) bekezdésébe foglalt elállási illetve felmondási jogát gyakorolni.</w:t>
      </w:r>
    </w:p>
    <w:p w:rsidR="007C26E1" w:rsidRDefault="007C26E1">
      <w:pPr>
        <w:spacing w:line="276" w:lineRule="auto"/>
        <w:jc w:val="both"/>
        <w:rPr>
          <w:rFonts w:eastAsia="Calibri"/>
        </w:rPr>
      </w:pPr>
    </w:p>
    <w:p w:rsidR="007C26E1" w:rsidRDefault="009F3470">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rsidR="007C26E1" w:rsidRDefault="009F3470">
      <w:pPr>
        <w:spacing w:line="276" w:lineRule="auto"/>
        <w:jc w:val="both"/>
        <w:rPr>
          <w:rFonts w:eastAsia="Calibri"/>
        </w:rPr>
      </w:pPr>
      <w:r>
        <w:rPr>
          <w:rFonts w:eastAsia="Calibri"/>
        </w:rPr>
        <w:t>Az ilyen írásbeli közlést tartalmazó küldemény kézbesítettnek tekintendő az alábbiak szerint:</w:t>
      </w:r>
    </w:p>
    <w:p w:rsidR="007C26E1" w:rsidRDefault="009F3470">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rsidR="007C26E1" w:rsidRDefault="009F3470">
      <w:pPr>
        <w:spacing w:line="276" w:lineRule="auto"/>
        <w:jc w:val="both"/>
        <w:rPr>
          <w:rFonts w:eastAsia="Calibri"/>
        </w:rPr>
      </w:pPr>
      <w:r>
        <w:rPr>
          <w:rFonts w:eastAsia="Calibri"/>
        </w:rPr>
        <w:t>-</w:t>
      </w:r>
      <w:r>
        <w:rPr>
          <w:rFonts w:eastAsia="Calibri"/>
        </w:rPr>
        <w:tab/>
        <w:t>futárposta esetében a küldemény átvételének napján,</w:t>
      </w:r>
    </w:p>
    <w:p w:rsidR="007C26E1" w:rsidRDefault="009F3470">
      <w:pPr>
        <w:spacing w:line="276" w:lineRule="auto"/>
        <w:jc w:val="both"/>
        <w:rPr>
          <w:rFonts w:eastAsia="Calibri"/>
        </w:rPr>
      </w:pPr>
      <w:r>
        <w:rPr>
          <w:rFonts w:eastAsia="Calibri"/>
        </w:rPr>
        <w:t>-</w:t>
      </w:r>
      <w:r>
        <w:rPr>
          <w:rFonts w:eastAsia="Calibri"/>
        </w:rPr>
        <w:tab/>
        <w:t>ajánlott-tértivevényes postai küldemény esetén a tértivevényen jelzett átvételi időpontban,</w:t>
      </w:r>
    </w:p>
    <w:p w:rsidR="007C26E1" w:rsidRDefault="009F3470">
      <w:pPr>
        <w:spacing w:line="276" w:lineRule="auto"/>
        <w:jc w:val="both"/>
        <w:rPr>
          <w:rFonts w:eastAsia="Calibri"/>
        </w:rPr>
      </w:pPr>
      <w:r>
        <w:rPr>
          <w:rFonts w:eastAsia="Calibri"/>
        </w:rPr>
        <w:t>-</w:t>
      </w:r>
      <w:r>
        <w:rPr>
          <w:rFonts w:eastAsia="Calibri"/>
        </w:rPr>
        <w:tab/>
        <w:t>telefax esetében az igazolt feladást követő munkanapon,</w:t>
      </w:r>
    </w:p>
    <w:p w:rsidR="007C26E1" w:rsidRDefault="009F3470">
      <w:pPr>
        <w:spacing w:line="276" w:lineRule="auto"/>
        <w:jc w:val="both"/>
        <w:rPr>
          <w:rFonts w:eastAsia="Calibri"/>
          <w:b/>
          <w:bCs/>
        </w:rPr>
      </w:pPr>
      <w:r>
        <w:rPr>
          <w:rFonts w:eastAsia="Calibri"/>
        </w:rPr>
        <w:lastRenderedPageBreak/>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rsidR="007C26E1" w:rsidRDefault="007C26E1">
      <w:pPr>
        <w:spacing w:line="276" w:lineRule="auto"/>
        <w:jc w:val="both"/>
        <w:rPr>
          <w:rFonts w:eastAsia="Calibri"/>
        </w:rPr>
      </w:pPr>
    </w:p>
    <w:p w:rsidR="007C26E1" w:rsidRDefault="009F3470">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rsidR="007C26E1" w:rsidRDefault="007C26E1">
      <w:pPr>
        <w:spacing w:line="276" w:lineRule="auto"/>
        <w:jc w:val="both"/>
        <w:rPr>
          <w:rFonts w:eastAsia="Calibri"/>
          <w:u w:val="single"/>
        </w:rPr>
      </w:pPr>
    </w:p>
    <w:p w:rsidR="007C26E1" w:rsidRDefault="009F3470">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rsidR="007C26E1" w:rsidRDefault="007C26E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7C26E1">
        <w:tc>
          <w:tcPr>
            <w:tcW w:w="8363" w:type="dxa"/>
          </w:tcPr>
          <w:p w:rsidR="007C26E1" w:rsidRDefault="009F3470" w:rsidP="00EA108B">
            <w:pPr>
              <w:spacing w:line="276" w:lineRule="auto"/>
              <w:jc w:val="both"/>
              <w:rPr>
                <w:rFonts w:eastAsia="Calibri"/>
              </w:rPr>
            </w:pPr>
            <w:r>
              <w:rPr>
                <w:rFonts w:eastAsia="Calibri"/>
              </w:rPr>
              <w:t xml:space="preserve">Név: </w:t>
            </w:r>
          </w:p>
        </w:tc>
      </w:tr>
      <w:tr w:rsidR="007C26E1">
        <w:tc>
          <w:tcPr>
            <w:tcW w:w="8363" w:type="dxa"/>
          </w:tcPr>
          <w:p w:rsidR="007C26E1" w:rsidRDefault="009F3470" w:rsidP="00EA108B">
            <w:pPr>
              <w:spacing w:line="276" w:lineRule="auto"/>
              <w:jc w:val="both"/>
              <w:rPr>
                <w:rFonts w:eastAsia="Calibri"/>
                <w:b/>
                <w:bCs/>
              </w:rPr>
            </w:pPr>
            <w:r>
              <w:rPr>
                <w:rFonts w:eastAsia="Calibri"/>
              </w:rPr>
              <w:t xml:space="preserve">Telefon: </w:t>
            </w:r>
          </w:p>
        </w:tc>
      </w:tr>
      <w:tr w:rsidR="007C26E1">
        <w:tc>
          <w:tcPr>
            <w:tcW w:w="8363" w:type="dxa"/>
          </w:tcPr>
          <w:p w:rsidR="007C26E1" w:rsidRDefault="009F3470" w:rsidP="00EA108B">
            <w:pPr>
              <w:spacing w:line="276" w:lineRule="auto"/>
              <w:jc w:val="both"/>
              <w:rPr>
                <w:rFonts w:eastAsia="Calibri"/>
                <w:b/>
                <w:bCs/>
              </w:rPr>
            </w:pPr>
            <w:r>
              <w:rPr>
                <w:rFonts w:eastAsia="Calibri"/>
              </w:rPr>
              <w:t>E-mail:</w:t>
            </w:r>
            <w:r w:rsidR="00863794" w:rsidRPr="00863794">
              <w:rPr>
                <w:rFonts w:eastAsia="Calibri"/>
              </w:rPr>
              <w:t xml:space="preserve"> </w:t>
            </w:r>
          </w:p>
        </w:tc>
      </w:tr>
    </w:tbl>
    <w:p w:rsidR="007C26E1" w:rsidRDefault="007C26E1">
      <w:pPr>
        <w:spacing w:line="276" w:lineRule="auto"/>
        <w:jc w:val="both"/>
        <w:rPr>
          <w:rFonts w:eastAsia="Calibri"/>
          <w:i/>
        </w:rPr>
      </w:pPr>
    </w:p>
    <w:p w:rsidR="007C26E1" w:rsidRDefault="009F3470">
      <w:pPr>
        <w:spacing w:line="276" w:lineRule="auto"/>
        <w:jc w:val="both"/>
        <w:rPr>
          <w:rFonts w:eastAsia="Calibri"/>
        </w:rPr>
      </w:pPr>
      <w:r>
        <w:rPr>
          <w:rFonts w:eastAsia="Calibri"/>
        </w:rPr>
        <w:t>2.4.2. Eladó részéről kapcsolattartó személy az 1. sz. mellékletben meghatározott személy.</w:t>
      </w:r>
    </w:p>
    <w:p w:rsidR="007C26E1" w:rsidRDefault="007C26E1">
      <w:pPr>
        <w:spacing w:line="276" w:lineRule="auto"/>
        <w:jc w:val="both"/>
        <w:rPr>
          <w:rFonts w:eastAsia="Calibri"/>
        </w:rPr>
      </w:pPr>
    </w:p>
    <w:p w:rsidR="007C26E1" w:rsidRDefault="009F3470">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7C26E1" w:rsidRDefault="007C26E1">
      <w:pPr>
        <w:spacing w:line="276" w:lineRule="auto"/>
        <w:jc w:val="both"/>
      </w:pPr>
    </w:p>
    <w:p w:rsidR="007C26E1" w:rsidRDefault="009F3470">
      <w:pPr>
        <w:spacing w:line="276" w:lineRule="auto"/>
        <w:jc w:val="both"/>
        <w:rPr>
          <w:rFonts w:eastAsia="Calibri"/>
        </w:rPr>
      </w:pPr>
      <w:r>
        <w:rPr>
          <w:b/>
          <w:bCs/>
        </w:rPr>
        <w:t>3.</w:t>
      </w:r>
      <w:r>
        <w:rPr>
          <w:b/>
          <w:bCs/>
        </w:rPr>
        <w:tab/>
        <w:t>Szerződésmódosítás</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Jelen Szerződés módosítása a Felek kölcsönös megegyezésével, írásban lehetséges.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rsidR="007C26E1" w:rsidRDefault="007C26E1">
      <w:pPr>
        <w:spacing w:line="276" w:lineRule="auto"/>
        <w:jc w:val="both"/>
        <w:rPr>
          <w:rFonts w:eastAsia="Calibri"/>
        </w:rPr>
      </w:pPr>
    </w:p>
    <w:p w:rsidR="007C26E1" w:rsidRDefault="009F3470">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rsidR="007C26E1" w:rsidRDefault="007C26E1">
      <w:pPr>
        <w:spacing w:line="276" w:lineRule="auto"/>
        <w:jc w:val="both"/>
        <w:rPr>
          <w:rFonts w:eastAsia="Calibri"/>
          <w:b/>
          <w:bCs/>
          <w:i/>
        </w:rPr>
      </w:pPr>
    </w:p>
    <w:p w:rsidR="007C26E1" w:rsidRDefault="009F3470">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rsidR="007C26E1" w:rsidRDefault="007C26E1">
      <w:pPr>
        <w:spacing w:line="276" w:lineRule="auto"/>
        <w:ind w:right="1"/>
        <w:jc w:val="both"/>
      </w:pPr>
    </w:p>
    <w:p w:rsidR="007C26E1" w:rsidRDefault="009F3470">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7C26E1" w:rsidRDefault="007C26E1">
      <w:pPr>
        <w:spacing w:line="276" w:lineRule="auto"/>
        <w:ind w:right="1"/>
        <w:jc w:val="both"/>
      </w:pPr>
    </w:p>
    <w:p w:rsidR="007C26E1" w:rsidRDefault="009F3470">
      <w:pPr>
        <w:spacing w:line="276" w:lineRule="auto"/>
        <w:ind w:right="1"/>
        <w:jc w:val="both"/>
      </w:pPr>
      <w:r>
        <w:lastRenderedPageBreak/>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7C26E1" w:rsidRDefault="007C26E1">
      <w:pPr>
        <w:spacing w:line="276" w:lineRule="auto"/>
        <w:ind w:right="1"/>
        <w:jc w:val="both"/>
      </w:pPr>
    </w:p>
    <w:p w:rsidR="007C26E1" w:rsidRDefault="009F3470">
      <w:pPr>
        <w:spacing w:line="276" w:lineRule="auto"/>
        <w:ind w:right="1"/>
        <w:jc w:val="both"/>
      </w:pPr>
      <w:r>
        <w:t>4.3.</w:t>
      </w:r>
      <w:r>
        <w:tab/>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rsidR="007C26E1" w:rsidRDefault="007C26E1">
      <w:pPr>
        <w:spacing w:line="276" w:lineRule="auto"/>
        <w:ind w:right="1"/>
        <w:jc w:val="both"/>
      </w:pPr>
    </w:p>
    <w:p w:rsidR="007C26E1" w:rsidRDefault="009F3470">
      <w:pPr>
        <w:spacing w:line="276" w:lineRule="auto"/>
        <w:ind w:right="1"/>
        <w:jc w:val="both"/>
      </w:pPr>
      <w:r>
        <w:t>4.4.</w:t>
      </w:r>
      <w:r>
        <w:tab/>
        <w:t>A jelen pont szerinti titoktartási kötelezettség a Szerződés megszűnését követően időkorlát nélkül fennmarad.</w:t>
      </w:r>
    </w:p>
    <w:p w:rsidR="007C26E1" w:rsidRDefault="007C26E1">
      <w:pPr>
        <w:spacing w:line="276" w:lineRule="auto"/>
        <w:ind w:right="1"/>
        <w:jc w:val="both"/>
      </w:pPr>
    </w:p>
    <w:p w:rsidR="007C26E1" w:rsidRDefault="009F3470">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rsidR="007C26E1" w:rsidRDefault="007C26E1">
      <w:pPr>
        <w:spacing w:line="276" w:lineRule="auto"/>
        <w:ind w:right="1"/>
        <w:jc w:val="both"/>
      </w:pPr>
    </w:p>
    <w:p w:rsidR="007C26E1" w:rsidRDefault="009F3470">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rsidR="007C26E1" w:rsidRDefault="007C26E1">
      <w:pPr>
        <w:spacing w:line="276" w:lineRule="auto"/>
        <w:ind w:right="1"/>
        <w:jc w:val="both"/>
      </w:pPr>
    </w:p>
    <w:p w:rsidR="007C26E1" w:rsidRDefault="009F3470">
      <w:pPr>
        <w:spacing w:line="276" w:lineRule="auto"/>
        <w:ind w:right="1"/>
        <w:jc w:val="both"/>
      </w:pPr>
      <w:r>
        <w:t>4.7. 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r>
        <w:rPr>
          <w:b/>
          <w:bCs/>
        </w:rPr>
        <w:t>Infotv</w:t>
      </w:r>
      <w:r>
        <w:t>.”) alapján történik. 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rsidR="007C26E1" w:rsidRDefault="007C26E1">
      <w:pPr>
        <w:spacing w:line="276" w:lineRule="auto"/>
        <w:ind w:right="1"/>
        <w:jc w:val="both"/>
      </w:pPr>
    </w:p>
    <w:p w:rsidR="007C26E1" w:rsidRDefault="009F3470">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törli. </w:t>
      </w:r>
    </w:p>
    <w:p w:rsidR="007C26E1" w:rsidRDefault="007C26E1">
      <w:pPr>
        <w:spacing w:line="276" w:lineRule="auto"/>
        <w:ind w:right="1"/>
        <w:jc w:val="both"/>
      </w:pPr>
    </w:p>
    <w:p w:rsidR="007C26E1" w:rsidRDefault="009F3470">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rsidR="007C26E1" w:rsidRDefault="007C26E1">
      <w:pPr>
        <w:spacing w:line="276" w:lineRule="auto"/>
        <w:ind w:right="1"/>
        <w:jc w:val="both"/>
      </w:pPr>
    </w:p>
    <w:p w:rsidR="007C26E1" w:rsidRDefault="009F3470">
      <w:pPr>
        <w:spacing w:line="276" w:lineRule="auto"/>
        <w:ind w:right="1"/>
        <w:jc w:val="both"/>
      </w:pPr>
      <w:r>
        <w:t xml:space="preserve">4.10. A MÁV Szolgáltató Központ Zrt. adatkezeléséről szóló részletes tájékoztató a </w:t>
      </w:r>
      <w:hyperlink r:id="rId13">
        <w:r>
          <w:rPr>
            <w:rStyle w:val="Hiperhivatkozs"/>
          </w:rPr>
          <w:t>https://www.mavcsoport.hu/mav-szk/adatkezelesi-tajekoztato</w:t>
        </w:r>
      </w:hyperlink>
      <w:r>
        <w:t xml:space="preserve"> webcímen található. </w:t>
      </w:r>
    </w:p>
    <w:p w:rsidR="007C26E1" w:rsidRDefault="009F3470">
      <w:pPr>
        <w:spacing w:line="276" w:lineRule="auto"/>
        <w:ind w:right="1"/>
        <w:jc w:val="both"/>
      </w:pPr>
      <w:r>
        <w:t xml:space="preserve">A MÁV Zrt. vonatkozó adatkezeléséről szóló részletes adatkezelési tájékoztatója a </w:t>
      </w:r>
      <w:hyperlink r:id="rId14">
        <w:r>
          <w:rPr>
            <w:rStyle w:val="Hiperhivatkozs"/>
          </w:rPr>
          <w:t>https://www.mavcsoport.hu/szerzodeskotesekhez-kapcs-alt-adatkezelesi-tajekoztato</w:t>
        </w:r>
      </w:hyperlink>
      <w:r>
        <w:t xml:space="preserve"> webcímen található. </w:t>
      </w:r>
    </w:p>
    <w:p w:rsidR="007C26E1" w:rsidRDefault="007C26E1">
      <w:pPr>
        <w:spacing w:line="276" w:lineRule="auto"/>
        <w:ind w:right="1"/>
        <w:jc w:val="both"/>
      </w:pPr>
    </w:p>
    <w:p w:rsidR="007C26E1" w:rsidRDefault="009F3470">
      <w:pPr>
        <w:spacing w:line="276" w:lineRule="auto"/>
        <w:ind w:right="1"/>
        <w:jc w:val="both"/>
      </w:pPr>
      <w:r>
        <w:t>A Vevő a jelen Szerződés aláírásával igazolja, hogy a jelen pontban megadott webcímeken található adatkezelési tájékoztatók tartalmát megismerte és az azokban foglaltakat tudomásul vette, illetve azokat az érintettel – igazolható módon – megismertette.</w:t>
      </w:r>
    </w:p>
    <w:p w:rsidR="007C26E1" w:rsidRDefault="007C26E1">
      <w:pPr>
        <w:spacing w:line="276" w:lineRule="auto"/>
        <w:ind w:right="1"/>
        <w:jc w:val="both"/>
        <w:rPr>
          <w:b/>
          <w:bCs/>
        </w:rPr>
      </w:pPr>
    </w:p>
    <w:p w:rsidR="007C26E1" w:rsidRDefault="009F3470">
      <w:pPr>
        <w:spacing w:line="276" w:lineRule="auto"/>
        <w:jc w:val="both"/>
        <w:rPr>
          <w:b/>
          <w:bCs/>
        </w:rPr>
      </w:pPr>
      <w:r>
        <w:rPr>
          <w:b/>
          <w:bCs/>
        </w:rPr>
        <w:t>5. Vis maior</w:t>
      </w:r>
    </w:p>
    <w:p w:rsidR="007C26E1" w:rsidRDefault="007C26E1">
      <w:pPr>
        <w:spacing w:line="276" w:lineRule="auto"/>
        <w:jc w:val="both"/>
      </w:pPr>
    </w:p>
    <w:p w:rsidR="007C26E1" w:rsidRDefault="009F3470">
      <w:pPr>
        <w:spacing w:line="276" w:lineRule="auto"/>
        <w:jc w:val="both"/>
      </w:pPr>
      <w:r>
        <w:t>Mentesülnek a Felek a szerződésszegés jogkövetkezményei alól, ha a teljesítés elmaradása vis maiorra vezethető vissza.</w:t>
      </w:r>
    </w:p>
    <w:p w:rsidR="007C26E1" w:rsidRDefault="009F3470">
      <w:pPr>
        <w:spacing w:line="276" w:lineRule="auto"/>
        <w:jc w:val="both"/>
      </w:pPr>
      <w:r>
        <w:t>Vis maiornak minősül minden olyan rendkívüli, előre nem látható tény, körülmény, amely a szerződésszegő Fél érdekkörén kívül esik, Felek akaratától független és elháríthatatlan.</w:t>
      </w:r>
    </w:p>
    <w:p w:rsidR="007C26E1" w:rsidRDefault="009F3470">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rsidR="007C26E1" w:rsidRDefault="009F3470">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7C26E1" w:rsidRDefault="009F3470">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b/>
          <w:bCs/>
        </w:rPr>
        <w:t>6.</w:t>
      </w:r>
      <w:r>
        <w:rPr>
          <w:rFonts w:eastAsia="Calibri"/>
          <w:b/>
          <w:bCs/>
        </w:rPr>
        <w:tab/>
        <w:t>Záró rendelkezések</w:t>
      </w:r>
    </w:p>
    <w:p w:rsidR="007C26E1" w:rsidRDefault="007C26E1">
      <w:pPr>
        <w:spacing w:line="276" w:lineRule="auto"/>
        <w:jc w:val="both"/>
        <w:rPr>
          <w:rFonts w:eastAsia="Calibri"/>
        </w:rPr>
      </w:pPr>
    </w:p>
    <w:p w:rsidR="007C26E1" w:rsidRDefault="009F3470">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6.2. A jelen szerződésben nem rögzített kérdésekben a Ptk., és az egyéb vonatkozó, hatályos jogszabályok rendelkezései irányadóak. </w:t>
      </w:r>
    </w:p>
    <w:p w:rsidR="007C26E1" w:rsidRDefault="009F3470">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6.3. Vevő nyilatkozik, hogy az (MNV Zrt.) Eladó vezető állású munkavállalóival, választott tisztségviselőivel, alkalmazottaival, illetőleg ezen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6.4</w:t>
      </w:r>
      <w:r w:rsidR="009F3470">
        <w:rPr>
          <w:rFonts w:eastAsia="Calibri"/>
        </w:rPr>
        <w:t>.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  nevében eljáró személy(ek) Etikai Kódexet sértő cselekményé(ei)t jelzi a MÁV Zrt. által működtetett etikai bejelentő és tanácsadó csatornán keresztül.</w:t>
      </w:r>
    </w:p>
    <w:p w:rsidR="007C26E1" w:rsidRDefault="007C26E1">
      <w:pPr>
        <w:spacing w:line="276" w:lineRule="auto"/>
        <w:jc w:val="both"/>
      </w:pPr>
    </w:p>
    <w:p w:rsidR="007C26E1" w:rsidRDefault="00034152">
      <w:pPr>
        <w:spacing w:line="276" w:lineRule="auto"/>
        <w:jc w:val="both"/>
        <w:rPr>
          <w:rFonts w:eastAsia="Calibri"/>
        </w:rPr>
      </w:pPr>
      <w:r>
        <w:rPr>
          <w:rFonts w:eastAsia="Calibri"/>
        </w:rPr>
        <w:t>6.5</w:t>
      </w:r>
      <w:r w:rsidR="009F3470">
        <w:rPr>
          <w:rFonts w:eastAsia="Calibri"/>
        </w:rPr>
        <w:t>.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6.6</w:t>
      </w:r>
      <w:r w:rsidR="009F3470">
        <w:rPr>
          <w:rFonts w:eastAsia="Calibri"/>
        </w:rPr>
        <w:t>. 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6.7</w:t>
      </w:r>
      <w:r w:rsidR="009F3470">
        <w:rPr>
          <w:rFonts w:eastAsia="Calibri"/>
        </w:rPr>
        <w:t>.</w:t>
      </w:r>
      <w:r w:rsidR="009F3470">
        <w:rPr>
          <w:rFonts w:eastAsia="Calibri"/>
        </w:rPr>
        <w:tab/>
        <w:t>Jelen Szerződés kizárólag mellékleteivel együtt érvényes.</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6.8</w:t>
      </w:r>
      <w:r w:rsidR="009F3470">
        <w:rPr>
          <w:rFonts w:eastAsia="Calibri"/>
        </w:rPr>
        <w:t xml:space="preserve">.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sidR="009F3470">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rsidR="007C26E1" w:rsidRDefault="007C26E1">
      <w:pPr>
        <w:pStyle w:val="Szvegtrzs1"/>
        <w:shd w:val="clear" w:color="auto" w:fill="auto"/>
        <w:spacing w:before="0" w:after="0" w:line="276" w:lineRule="auto"/>
        <w:ind w:right="40" w:firstLine="0"/>
        <w:rPr>
          <w:sz w:val="24"/>
          <w:szCs w:val="24"/>
        </w:rPr>
      </w:pPr>
    </w:p>
    <w:p w:rsidR="007C26E1" w:rsidRDefault="009F3470">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rsidR="007C26E1" w:rsidRDefault="007C26E1">
      <w:pPr>
        <w:pStyle w:val="Szvegtrzs1"/>
        <w:spacing w:before="0" w:after="0" w:line="276" w:lineRule="auto"/>
        <w:ind w:left="714" w:right="40" w:firstLine="0"/>
        <w:rPr>
          <w:sz w:val="24"/>
          <w:szCs w:val="24"/>
        </w:rPr>
      </w:pPr>
    </w:p>
    <w:p w:rsidR="007C26E1" w:rsidRDefault="009F3470">
      <w:pPr>
        <w:spacing w:after="200" w:line="276" w:lineRule="auto"/>
      </w:pPr>
      <w:r>
        <w:t>Jelen Szerződés 6 (hat) példányban készült, melyből 5 (öt) példány az Eladót, 1 (egy) példány a Vevőt illeti meg.</w:t>
      </w:r>
    </w:p>
    <w:p w:rsidR="007C26E1" w:rsidRDefault="009F3470">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7C26E1">
        <w:tc>
          <w:tcPr>
            <w:tcW w:w="3423" w:type="dxa"/>
            <w:vAlign w:val="center"/>
          </w:tcPr>
          <w:p w:rsidR="007C26E1" w:rsidRDefault="009F3470">
            <w:pPr>
              <w:widowControl w:val="0"/>
              <w:spacing w:line="276" w:lineRule="auto"/>
              <w:jc w:val="center"/>
            </w:pPr>
            <w:r>
              <w:t>Kelt,………….202……………..</w:t>
            </w: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9F3470">
            <w:pPr>
              <w:widowControl w:val="0"/>
              <w:spacing w:line="276" w:lineRule="auto"/>
              <w:jc w:val="center"/>
            </w:pPr>
            <w:r>
              <w:t>Kelt,………….202……………..</w:t>
            </w:r>
          </w:p>
        </w:tc>
      </w:tr>
      <w:tr w:rsidR="007C26E1">
        <w:tc>
          <w:tcPr>
            <w:tcW w:w="3423" w:type="dxa"/>
            <w:vAlign w:val="center"/>
          </w:tcPr>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7C26E1">
            <w:pPr>
              <w:widowControl w:val="0"/>
              <w:spacing w:line="276" w:lineRule="auto"/>
              <w:jc w:val="center"/>
            </w:pPr>
          </w:p>
        </w:tc>
      </w:tr>
      <w:tr w:rsidR="007C26E1">
        <w:tc>
          <w:tcPr>
            <w:tcW w:w="3423" w:type="dxa"/>
            <w:vAlign w:val="center"/>
          </w:tcPr>
          <w:p w:rsidR="007C26E1" w:rsidRDefault="009F3470">
            <w:pPr>
              <w:widowControl w:val="0"/>
              <w:spacing w:line="276" w:lineRule="auto"/>
              <w:jc w:val="center"/>
              <w:rPr>
                <w:b/>
                <w:bCs/>
              </w:rPr>
            </w:pPr>
            <w:r>
              <w:rPr>
                <w:b/>
                <w:bCs/>
              </w:rPr>
              <w:t>Vevő részéről:</w:t>
            </w:r>
          </w:p>
        </w:tc>
        <w:tc>
          <w:tcPr>
            <w:tcW w:w="238" w:type="dxa"/>
            <w:vAlign w:val="center"/>
          </w:tcPr>
          <w:p w:rsidR="007C26E1" w:rsidRDefault="007C26E1">
            <w:pPr>
              <w:widowControl w:val="0"/>
              <w:spacing w:line="276" w:lineRule="auto"/>
              <w:jc w:val="center"/>
              <w:rPr>
                <w:b/>
                <w:bCs/>
              </w:rPr>
            </w:pPr>
          </w:p>
        </w:tc>
        <w:tc>
          <w:tcPr>
            <w:tcW w:w="5627" w:type="dxa"/>
            <w:gridSpan w:val="2"/>
            <w:vAlign w:val="center"/>
          </w:tcPr>
          <w:p w:rsidR="007C26E1" w:rsidRDefault="009F3470">
            <w:pPr>
              <w:widowControl w:val="0"/>
              <w:spacing w:line="276" w:lineRule="auto"/>
              <w:jc w:val="center"/>
              <w:rPr>
                <w:b/>
                <w:bCs/>
              </w:rPr>
            </w:pPr>
            <w:r>
              <w:rPr>
                <w:b/>
                <w:bCs/>
              </w:rPr>
              <w:t>Eladó részéről:</w:t>
            </w:r>
          </w:p>
        </w:tc>
      </w:tr>
      <w:tr w:rsidR="007C26E1">
        <w:trPr>
          <w:trHeight w:val="1169"/>
        </w:trPr>
        <w:tc>
          <w:tcPr>
            <w:tcW w:w="3423" w:type="dxa"/>
            <w:vAlign w:val="center"/>
          </w:tcPr>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9F3470">
            <w:pPr>
              <w:widowControl w:val="0"/>
              <w:spacing w:line="276" w:lineRule="auto"/>
              <w:jc w:val="center"/>
            </w:pPr>
            <w:r>
              <w:t>Magyar Állam,</w:t>
            </w:r>
            <w:r>
              <w:br/>
              <w:t>mint tulajdonos képviseletében eljáró MNV Zrt.</w:t>
            </w:r>
            <w:r>
              <w:br/>
              <w:t>megbízásából eljáró MÁV Zrt. képviseletében eljárva:</w:t>
            </w:r>
          </w:p>
          <w:p w:rsidR="007C26E1" w:rsidRDefault="007C26E1">
            <w:pPr>
              <w:widowControl w:val="0"/>
              <w:spacing w:line="276" w:lineRule="auto"/>
              <w:jc w:val="center"/>
            </w:pPr>
          </w:p>
        </w:tc>
      </w:tr>
      <w:tr w:rsidR="007C26E1">
        <w:trPr>
          <w:trHeight w:val="1118"/>
        </w:trPr>
        <w:tc>
          <w:tcPr>
            <w:tcW w:w="3423" w:type="dxa"/>
            <w:vAlign w:val="center"/>
          </w:tcPr>
          <w:p w:rsidR="007C26E1" w:rsidRDefault="009F3470">
            <w:pPr>
              <w:widowControl w:val="0"/>
              <w:spacing w:line="276" w:lineRule="auto"/>
              <w:jc w:val="center"/>
            </w:pPr>
            <w:r>
              <w:t>……………………………</w:t>
            </w:r>
          </w:p>
          <w:p w:rsidR="007C26E1" w:rsidRDefault="007C26E1">
            <w:pPr>
              <w:widowControl w:val="0"/>
              <w:spacing w:line="276" w:lineRule="auto"/>
              <w:jc w:val="center"/>
            </w:pPr>
          </w:p>
          <w:p w:rsidR="007C26E1" w:rsidRDefault="007C26E1">
            <w:pPr>
              <w:widowControl w:val="0"/>
              <w:spacing w:line="276" w:lineRule="auto"/>
              <w:jc w:val="center"/>
            </w:pPr>
          </w:p>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2826"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dr. Prieszol Eszter</w:t>
            </w:r>
          </w:p>
          <w:p w:rsidR="007C26E1" w:rsidRDefault="009F3470">
            <w:pPr>
              <w:widowControl w:val="0"/>
              <w:spacing w:line="276" w:lineRule="auto"/>
              <w:ind w:left="-108" w:hanging="21"/>
              <w:jc w:val="center"/>
            </w:pPr>
            <w:r>
              <w:t>üzletágvezető</w:t>
            </w: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tc>
        <w:tc>
          <w:tcPr>
            <w:tcW w:w="2801"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Tóthné Kobra Mária</w:t>
            </w:r>
          </w:p>
          <w:p w:rsidR="007C26E1" w:rsidRDefault="009F3470">
            <w:pPr>
              <w:widowControl w:val="0"/>
              <w:ind w:left="-108" w:hanging="21"/>
              <w:jc w:val="center"/>
            </w:pPr>
            <w:r>
              <w:t xml:space="preserve">Környezetvédelem, szállítás, leltározás </w:t>
            </w:r>
          </w:p>
          <w:p w:rsidR="007C26E1" w:rsidRDefault="009F3470">
            <w:pPr>
              <w:widowControl w:val="0"/>
              <w:spacing w:line="276" w:lineRule="auto"/>
              <w:ind w:left="-108" w:hanging="21"/>
              <w:jc w:val="center"/>
            </w:pPr>
            <w:r>
              <w:tab/>
            </w:r>
            <w:r>
              <w:tab/>
              <w:t>és vasúti tevékenység vezető</w:t>
            </w:r>
          </w:p>
          <w:p w:rsidR="007C26E1" w:rsidRDefault="007C26E1">
            <w:pPr>
              <w:widowControl w:val="0"/>
              <w:spacing w:line="276" w:lineRule="auto"/>
              <w:ind w:left="-108" w:hanging="21"/>
              <w:jc w:val="center"/>
            </w:pPr>
          </w:p>
        </w:tc>
      </w:tr>
      <w:tr w:rsidR="007C26E1">
        <w:tc>
          <w:tcPr>
            <w:tcW w:w="3423" w:type="dxa"/>
            <w:vAlign w:val="center"/>
          </w:tcPr>
          <w:p w:rsidR="007C26E1" w:rsidRDefault="007C26E1">
            <w:pPr>
              <w:widowControl w:val="0"/>
              <w:spacing w:line="276" w:lineRule="auto"/>
              <w:jc w:val="center"/>
              <w:rPr>
                <w:b/>
                <w:bCs/>
              </w:rPr>
            </w:pPr>
          </w:p>
        </w:tc>
        <w:tc>
          <w:tcPr>
            <w:tcW w:w="238" w:type="dxa"/>
            <w:vAlign w:val="center"/>
          </w:tcPr>
          <w:p w:rsidR="007C26E1" w:rsidRDefault="007C26E1">
            <w:pPr>
              <w:widowControl w:val="0"/>
              <w:spacing w:line="276" w:lineRule="auto"/>
              <w:jc w:val="center"/>
              <w:rPr>
                <w:b/>
                <w:bCs/>
              </w:rPr>
            </w:pPr>
          </w:p>
        </w:tc>
        <w:tc>
          <w:tcPr>
            <w:tcW w:w="5627" w:type="dxa"/>
            <w:gridSpan w:val="2"/>
            <w:vAlign w:val="center"/>
          </w:tcPr>
          <w:p w:rsidR="007C26E1" w:rsidRDefault="009F3470">
            <w:pPr>
              <w:widowControl w:val="0"/>
              <w:spacing w:line="276" w:lineRule="auto"/>
              <w:jc w:val="center"/>
              <w:rPr>
                <w:b/>
                <w:bCs/>
              </w:rPr>
            </w:pPr>
            <w:r>
              <w:rPr>
                <w:b/>
                <w:bCs/>
              </w:rPr>
              <w:t>MÁV Szolgáltató Központ Zrt.</w:t>
            </w:r>
          </w:p>
        </w:tc>
      </w:tr>
    </w:tbl>
    <w:p w:rsidR="007C26E1" w:rsidRDefault="007C26E1">
      <w:pPr>
        <w:spacing w:line="276" w:lineRule="auto"/>
        <w:sectPr w:rsidR="007C26E1">
          <w:headerReference w:type="default" r:id="rId15"/>
          <w:footerReference w:type="default" r:id="rId16"/>
          <w:headerReference w:type="first" r:id="rId17"/>
          <w:footerReference w:type="first" r:id="rId18"/>
          <w:pgSz w:w="11906" w:h="16838"/>
          <w:pgMar w:top="1417" w:right="1417" w:bottom="1560" w:left="1417" w:header="708" w:footer="646" w:gutter="0"/>
          <w:cols w:space="708"/>
          <w:titlePg/>
          <w:docGrid w:linePitch="360"/>
        </w:sectPr>
      </w:pPr>
    </w:p>
    <w:p w:rsidR="007C26E1" w:rsidRDefault="007C26E1">
      <w:pPr>
        <w:spacing w:line="276" w:lineRule="auto"/>
        <w:rPr>
          <w:sz w:val="22"/>
          <w:szCs w:val="22"/>
        </w:rPr>
      </w:pPr>
    </w:p>
    <w:p w:rsidR="007C26E1" w:rsidRDefault="009F3470">
      <w:pPr>
        <w:spacing w:line="276" w:lineRule="auto"/>
        <w:rPr>
          <w:b/>
          <w:bCs/>
        </w:rPr>
      </w:pPr>
      <w:r>
        <w:rPr>
          <w:b/>
          <w:bCs/>
        </w:rPr>
        <w:t>1.</w:t>
      </w:r>
      <w:r>
        <w:rPr>
          <w:b/>
          <w:bCs/>
        </w:rPr>
        <w:tab/>
        <w:t>sz. melléklet: Értékesítés tárgyát képező fémhulladékok adatai, teljesítési hely, nettó árak (nettó egységár), kapcsolattartó</w:t>
      </w:r>
    </w:p>
    <w:p w:rsidR="007C26E1" w:rsidRDefault="007C26E1">
      <w:pPr>
        <w:spacing w:line="276" w:lineRule="auto"/>
        <w:rPr>
          <w:sz w:val="22"/>
          <w:szCs w:val="22"/>
        </w:rPr>
      </w:pPr>
    </w:p>
    <w:tbl>
      <w:tblPr>
        <w:tblStyle w:val="Rcsostblzat"/>
        <w:tblW w:w="16019" w:type="dxa"/>
        <w:jc w:val="center"/>
        <w:tblLook w:val="04A0" w:firstRow="1" w:lastRow="0" w:firstColumn="1" w:lastColumn="0" w:noHBand="0" w:noVBand="1"/>
      </w:tblPr>
      <w:tblGrid>
        <w:gridCol w:w="5358"/>
        <w:gridCol w:w="10661"/>
      </w:tblGrid>
      <w:tr w:rsidR="00EA108B" w:rsidTr="00BE4F06">
        <w:trPr>
          <w:trHeight w:val="85"/>
          <w:jc w:val="center"/>
        </w:trPr>
        <w:tc>
          <w:tcPr>
            <w:tcW w:w="5358" w:type="dxa"/>
            <w:vAlign w:val="center"/>
          </w:tcPr>
          <w:p w:rsidR="00EA108B" w:rsidRDefault="00EA108B" w:rsidP="00BE4F06">
            <w:pPr>
              <w:jc w:val="center"/>
            </w:pPr>
            <w:r>
              <w:t>Teljesítés (tárolás) tényleges helye:</w:t>
            </w:r>
          </w:p>
        </w:tc>
        <w:tc>
          <w:tcPr>
            <w:tcW w:w="10661" w:type="dxa"/>
            <w:vAlign w:val="center"/>
          </w:tcPr>
          <w:p w:rsidR="00EA108B" w:rsidRDefault="00EA108B" w:rsidP="00BE4F06">
            <w:pPr>
              <w:jc w:val="center"/>
            </w:pPr>
            <w:r>
              <w:t>PROVIX HÍD Kft. Csepeli telephely</w:t>
            </w:r>
          </w:p>
        </w:tc>
      </w:tr>
      <w:tr w:rsidR="00EA108B" w:rsidTr="00BE4F06">
        <w:trPr>
          <w:trHeight w:val="85"/>
          <w:jc w:val="center"/>
        </w:trPr>
        <w:tc>
          <w:tcPr>
            <w:tcW w:w="5358" w:type="dxa"/>
            <w:vAlign w:val="center"/>
          </w:tcPr>
          <w:p w:rsidR="00EA108B" w:rsidRDefault="00EA108B" w:rsidP="00BE4F06">
            <w:pPr>
              <w:jc w:val="center"/>
            </w:pPr>
            <w:r>
              <w:t>Azonosító kód:</w:t>
            </w:r>
          </w:p>
        </w:tc>
        <w:tc>
          <w:tcPr>
            <w:tcW w:w="10661" w:type="dxa"/>
            <w:vAlign w:val="center"/>
          </w:tcPr>
          <w:p w:rsidR="00EA108B" w:rsidRDefault="00EA108B" w:rsidP="00BE4F06">
            <w:pPr>
              <w:jc w:val="center"/>
            </w:pPr>
            <w:r>
              <w:t>17 04 05</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neve:</w:t>
            </w:r>
          </w:p>
        </w:tc>
        <w:tc>
          <w:tcPr>
            <w:tcW w:w="10661" w:type="dxa"/>
            <w:vAlign w:val="center"/>
          </w:tcPr>
          <w:p w:rsidR="00EA108B" w:rsidRDefault="00EA108B" w:rsidP="00BE4F06">
            <w:pPr>
              <w:jc w:val="center"/>
            </w:pPr>
            <w:r>
              <w:t>Udvari Bálint</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telefonszáma:</w:t>
            </w:r>
          </w:p>
        </w:tc>
        <w:tc>
          <w:tcPr>
            <w:tcW w:w="10661" w:type="dxa"/>
            <w:vAlign w:val="center"/>
          </w:tcPr>
          <w:p w:rsidR="00EA108B" w:rsidRDefault="00EA108B" w:rsidP="00BE4F06">
            <w:pPr>
              <w:jc w:val="center"/>
            </w:pPr>
            <w:r w:rsidRPr="00075F63">
              <w:t>+36303297279</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email címe:</w:t>
            </w:r>
          </w:p>
        </w:tc>
        <w:tc>
          <w:tcPr>
            <w:tcW w:w="10661" w:type="dxa"/>
            <w:vAlign w:val="center"/>
          </w:tcPr>
          <w:p w:rsidR="00EA108B" w:rsidRDefault="00EA108B" w:rsidP="00BE4F06">
            <w:pPr>
              <w:jc w:val="center"/>
            </w:pPr>
            <w:r>
              <w:t>udvari.balint@mav.hu</w:t>
            </w:r>
          </w:p>
        </w:tc>
      </w:tr>
      <w:tr w:rsidR="00EA108B" w:rsidTr="00BE4F06">
        <w:trPr>
          <w:trHeight w:val="85"/>
          <w:jc w:val="center"/>
        </w:trPr>
        <w:tc>
          <w:tcPr>
            <w:tcW w:w="5358" w:type="dxa"/>
            <w:vAlign w:val="center"/>
          </w:tcPr>
          <w:p w:rsidR="00EA108B" w:rsidRDefault="00EA108B" w:rsidP="00BE4F06">
            <w:pPr>
              <w:jc w:val="center"/>
            </w:pPr>
            <w:r>
              <w:t>FAJ-kód:</w:t>
            </w:r>
          </w:p>
        </w:tc>
        <w:tc>
          <w:tcPr>
            <w:tcW w:w="10661" w:type="dxa"/>
            <w:vAlign w:val="center"/>
          </w:tcPr>
          <w:p w:rsidR="00EA108B" w:rsidRDefault="00EA108B" w:rsidP="00BE4F06">
            <w:pPr>
              <w:jc w:val="center"/>
            </w:pPr>
            <w:r>
              <w:t>20</w:t>
            </w:r>
          </w:p>
        </w:tc>
      </w:tr>
      <w:tr w:rsidR="00EA108B" w:rsidTr="00BE4F06">
        <w:trPr>
          <w:trHeight w:val="85"/>
          <w:jc w:val="center"/>
        </w:trPr>
        <w:tc>
          <w:tcPr>
            <w:tcW w:w="5358" w:type="dxa"/>
            <w:vAlign w:val="center"/>
          </w:tcPr>
          <w:p w:rsidR="00EA108B" w:rsidRDefault="00EA108B" w:rsidP="00BE4F06">
            <w:pPr>
              <w:jc w:val="center"/>
            </w:pPr>
            <w:r>
              <w:t>VTSZ szám:</w:t>
            </w:r>
          </w:p>
        </w:tc>
        <w:tc>
          <w:tcPr>
            <w:tcW w:w="10661" w:type="dxa"/>
            <w:vAlign w:val="center"/>
          </w:tcPr>
          <w:p w:rsidR="00EA108B" w:rsidRDefault="00EA108B" w:rsidP="00BE4F06">
            <w:pPr>
              <w:jc w:val="center"/>
            </w:pPr>
            <w:r>
              <w:t>72044910</w:t>
            </w:r>
          </w:p>
        </w:tc>
      </w:tr>
      <w:tr w:rsidR="00EA108B" w:rsidTr="00BE4F06">
        <w:trPr>
          <w:trHeight w:val="85"/>
          <w:jc w:val="center"/>
        </w:trPr>
        <w:tc>
          <w:tcPr>
            <w:tcW w:w="5358" w:type="dxa"/>
            <w:vAlign w:val="center"/>
          </w:tcPr>
          <w:p w:rsidR="00EA108B" w:rsidRDefault="00EA108B" w:rsidP="00BE4F06">
            <w:pPr>
              <w:jc w:val="center"/>
            </w:pPr>
            <w:r>
              <w:t>MÁV (SAP) tételszám:</w:t>
            </w:r>
          </w:p>
        </w:tc>
        <w:tc>
          <w:tcPr>
            <w:tcW w:w="10661" w:type="dxa"/>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Anyag megnevezése:</w:t>
            </w:r>
          </w:p>
        </w:tc>
        <w:tc>
          <w:tcPr>
            <w:tcW w:w="10661" w:type="dxa"/>
            <w:vAlign w:val="center"/>
          </w:tcPr>
          <w:p w:rsidR="00EA108B" w:rsidRDefault="00EA108B" w:rsidP="00BE4F06">
            <w:pPr>
              <w:jc w:val="center"/>
            </w:pPr>
            <w:r>
              <w:t>Hídelem</w:t>
            </w:r>
          </w:p>
        </w:tc>
      </w:tr>
      <w:tr w:rsidR="00EA108B" w:rsidTr="00BE4F06">
        <w:trPr>
          <w:trHeight w:val="85"/>
          <w:jc w:val="center"/>
        </w:trPr>
        <w:tc>
          <w:tcPr>
            <w:tcW w:w="5358" w:type="dxa"/>
            <w:vAlign w:val="center"/>
          </w:tcPr>
          <w:p w:rsidR="00EA108B" w:rsidRDefault="00EA108B" w:rsidP="00BE4F06">
            <w:pPr>
              <w:jc w:val="center"/>
            </w:pPr>
            <w:r>
              <w:t>Mennyiség (tonna):</w:t>
            </w:r>
          </w:p>
        </w:tc>
        <w:tc>
          <w:tcPr>
            <w:tcW w:w="10661" w:type="dxa"/>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Egységár (Ft/tonna):</w:t>
            </w:r>
          </w:p>
        </w:tc>
        <w:tc>
          <w:tcPr>
            <w:tcW w:w="10661" w:type="dxa"/>
            <w:noWrap/>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Összérték (Ft):</w:t>
            </w:r>
          </w:p>
        </w:tc>
        <w:tc>
          <w:tcPr>
            <w:tcW w:w="10661" w:type="dxa"/>
            <w:noWrap/>
            <w:vAlign w:val="center"/>
          </w:tcPr>
          <w:p w:rsidR="00EA108B" w:rsidRDefault="00EA108B" w:rsidP="00BE4F06">
            <w:pPr>
              <w:jc w:val="center"/>
            </w:pPr>
          </w:p>
        </w:tc>
      </w:tr>
    </w:tbl>
    <w:p w:rsidR="007C26E1" w:rsidRDefault="007C26E1">
      <w:pPr>
        <w:spacing w:line="276" w:lineRule="auto"/>
      </w:pPr>
    </w:p>
    <w:p w:rsidR="007C26E1" w:rsidRDefault="007C26E1">
      <w:pPr>
        <w:spacing w:line="276" w:lineRule="auto"/>
      </w:pPr>
    </w:p>
    <w:tbl>
      <w:tblPr>
        <w:tblStyle w:val="Rcsostblzat"/>
        <w:tblW w:w="15310" w:type="dxa"/>
        <w:tblInd w:w="-856" w:type="dxa"/>
        <w:tblBorders>
          <w:top w:val="nil"/>
          <w:left w:val="nil"/>
          <w:bottom w:val="nil"/>
          <w:right w:val="nil"/>
          <w:insideH w:val="nil"/>
          <w:insideV w:val="nil"/>
        </w:tblBorders>
        <w:tblLook w:val="04A0" w:firstRow="1" w:lastRow="0" w:firstColumn="1" w:lastColumn="0" w:noHBand="0" w:noVBand="1"/>
      </w:tblPr>
      <w:tblGrid>
        <w:gridCol w:w="7372"/>
        <w:gridCol w:w="567"/>
        <w:gridCol w:w="3827"/>
        <w:gridCol w:w="3544"/>
      </w:tblGrid>
      <w:tr w:rsidR="007C26E1">
        <w:tc>
          <w:tcPr>
            <w:tcW w:w="7372" w:type="dxa"/>
            <w:vAlign w:val="center"/>
          </w:tcPr>
          <w:p w:rsidR="007C26E1" w:rsidRDefault="009F3470">
            <w:pPr>
              <w:widowControl w:val="0"/>
              <w:spacing w:line="276" w:lineRule="auto"/>
              <w:jc w:val="center"/>
            </w:pPr>
            <w:r>
              <w:t>Kelt</w:t>
            </w:r>
            <w:proofErr w:type="gramStart"/>
            <w:r>
              <w:t>,………….</w:t>
            </w:r>
            <w:proofErr w:type="gramEnd"/>
            <w:r>
              <w:t>202……………..</w:t>
            </w:r>
          </w:p>
        </w:tc>
        <w:tc>
          <w:tcPr>
            <w:tcW w:w="567" w:type="dxa"/>
            <w:vAlign w:val="center"/>
          </w:tcPr>
          <w:p w:rsidR="007C26E1" w:rsidRDefault="007C26E1">
            <w:pPr>
              <w:widowControl w:val="0"/>
              <w:spacing w:line="276" w:lineRule="auto"/>
              <w:jc w:val="center"/>
            </w:pPr>
          </w:p>
        </w:tc>
        <w:tc>
          <w:tcPr>
            <w:tcW w:w="7371" w:type="dxa"/>
            <w:gridSpan w:val="2"/>
            <w:vAlign w:val="center"/>
          </w:tcPr>
          <w:p w:rsidR="007C26E1" w:rsidRDefault="009F3470">
            <w:pPr>
              <w:widowControl w:val="0"/>
              <w:spacing w:line="276" w:lineRule="auto"/>
              <w:jc w:val="center"/>
            </w:pPr>
            <w:r>
              <w:t>Kelt,………….202……………..</w:t>
            </w:r>
          </w:p>
        </w:tc>
      </w:tr>
      <w:tr w:rsidR="007C26E1">
        <w:tc>
          <w:tcPr>
            <w:tcW w:w="7372" w:type="dxa"/>
            <w:vAlign w:val="center"/>
          </w:tcPr>
          <w:p w:rsidR="007C26E1" w:rsidRDefault="009F3470">
            <w:pPr>
              <w:widowControl w:val="0"/>
              <w:spacing w:line="276" w:lineRule="auto"/>
              <w:jc w:val="center"/>
              <w:rPr>
                <w:b/>
                <w:bCs/>
              </w:rPr>
            </w:pPr>
            <w:r>
              <w:rPr>
                <w:b/>
                <w:bCs/>
              </w:rPr>
              <w:t>Vevő részéről:</w:t>
            </w:r>
          </w:p>
        </w:tc>
        <w:tc>
          <w:tcPr>
            <w:tcW w:w="567" w:type="dxa"/>
            <w:vAlign w:val="center"/>
          </w:tcPr>
          <w:p w:rsidR="007C26E1" w:rsidRDefault="007C26E1">
            <w:pPr>
              <w:widowControl w:val="0"/>
              <w:spacing w:line="276" w:lineRule="auto"/>
              <w:jc w:val="center"/>
              <w:rPr>
                <w:b/>
                <w:bCs/>
              </w:rPr>
            </w:pPr>
          </w:p>
        </w:tc>
        <w:tc>
          <w:tcPr>
            <w:tcW w:w="7371" w:type="dxa"/>
            <w:gridSpan w:val="2"/>
            <w:vAlign w:val="center"/>
          </w:tcPr>
          <w:p w:rsidR="007C26E1" w:rsidRDefault="009F3470">
            <w:pPr>
              <w:widowControl w:val="0"/>
              <w:spacing w:line="276" w:lineRule="auto"/>
              <w:jc w:val="center"/>
              <w:rPr>
                <w:b/>
                <w:bCs/>
              </w:rPr>
            </w:pPr>
            <w:r>
              <w:rPr>
                <w:b/>
                <w:bCs/>
              </w:rPr>
              <w:t>Eladó részéről:</w:t>
            </w:r>
          </w:p>
        </w:tc>
      </w:tr>
      <w:tr w:rsidR="007C26E1">
        <w:trPr>
          <w:trHeight w:val="1169"/>
        </w:trPr>
        <w:tc>
          <w:tcPr>
            <w:tcW w:w="7372" w:type="dxa"/>
            <w:vAlign w:val="center"/>
          </w:tcPr>
          <w:p w:rsidR="007C26E1" w:rsidRDefault="007C26E1">
            <w:pPr>
              <w:widowControl w:val="0"/>
              <w:spacing w:line="276" w:lineRule="auto"/>
              <w:jc w:val="center"/>
            </w:pPr>
          </w:p>
        </w:tc>
        <w:tc>
          <w:tcPr>
            <w:tcW w:w="567" w:type="dxa"/>
            <w:vAlign w:val="center"/>
          </w:tcPr>
          <w:p w:rsidR="007C26E1" w:rsidRDefault="007C26E1">
            <w:pPr>
              <w:widowControl w:val="0"/>
              <w:spacing w:line="276" w:lineRule="auto"/>
              <w:jc w:val="center"/>
            </w:pPr>
          </w:p>
        </w:tc>
        <w:tc>
          <w:tcPr>
            <w:tcW w:w="7371" w:type="dxa"/>
            <w:gridSpan w:val="2"/>
            <w:vAlign w:val="center"/>
          </w:tcPr>
          <w:p w:rsidR="007C26E1" w:rsidRDefault="009F3470">
            <w:pPr>
              <w:widowControl w:val="0"/>
              <w:spacing w:line="276" w:lineRule="auto"/>
              <w:jc w:val="center"/>
            </w:pPr>
            <w:r>
              <w:t>Magyar Állam,</w:t>
            </w:r>
            <w:r>
              <w:br/>
              <w:t>mint tulajdonos képviseletében eljáró MNV Zrt.</w:t>
            </w:r>
            <w:r>
              <w:br/>
              <w:t>megbízásából eljáró MÁV Zrt. képviseletében eljárva:</w:t>
            </w:r>
          </w:p>
          <w:p w:rsidR="007C26E1" w:rsidRDefault="007C26E1">
            <w:pPr>
              <w:widowControl w:val="0"/>
              <w:spacing w:line="276" w:lineRule="auto"/>
              <w:jc w:val="center"/>
            </w:pPr>
          </w:p>
        </w:tc>
      </w:tr>
      <w:tr w:rsidR="007C26E1">
        <w:trPr>
          <w:trHeight w:val="1118"/>
        </w:trPr>
        <w:tc>
          <w:tcPr>
            <w:tcW w:w="7372" w:type="dxa"/>
            <w:vAlign w:val="center"/>
          </w:tcPr>
          <w:p w:rsidR="007C26E1" w:rsidRDefault="009F3470">
            <w:pPr>
              <w:widowControl w:val="0"/>
              <w:spacing w:line="276" w:lineRule="auto"/>
              <w:jc w:val="center"/>
            </w:pPr>
            <w:r>
              <w:t>……………………………</w:t>
            </w:r>
          </w:p>
          <w:p w:rsidR="007C26E1" w:rsidRDefault="007C26E1">
            <w:pPr>
              <w:widowControl w:val="0"/>
              <w:spacing w:line="276" w:lineRule="auto"/>
              <w:jc w:val="center"/>
            </w:pPr>
          </w:p>
          <w:p w:rsidR="007C26E1" w:rsidRDefault="007C26E1">
            <w:pPr>
              <w:widowControl w:val="0"/>
              <w:spacing w:line="276" w:lineRule="auto"/>
              <w:jc w:val="center"/>
            </w:pPr>
          </w:p>
        </w:tc>
        <w:tc>
          <w:tcPr>
            <w:tcW w:w="567" w:type="dxa"/>
            <w:vAlign w:val="center"/>
          </w:tcPr>
          <w:p w:rsidR="007C26E1" w:rsidRDefault="007C26E1">
            <w:pPr>
              <w:widowControl w:val="0"/>
              <w:spacing w:line="276" w:lineRule="auto"/>
              <w:jc w:val="center"/>
            </w:pPr>
          </w:p>
        </w:tc>
        <w:tc>
          <w:tcPr>
            <w:tcW w:w="3827"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dr. Prieszol Eszter</w:t>
            </w:r>
          </w:p>
          <w:p w:rsidR="007C26E1" w:rsidRDefault="009F3470">
            <w:pPr>
              <w:widowControl w:val="0"/>
              <w:spacing w:line="276" w:lineRule="auto"/>
              <w:ind w:left="-108" w:hanging="21"/>
              <w:jc w:val="center"/>
            </w:pPr>
            <w:r>
              <w:t>üzletágvezető</w:t>
            </w: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tc>
        <w:tc>
          <w:tcPr>
            <w:tcW w:w="3544"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Tóthné Kobra Mária</w:t>
            </w:r>
          </w:p>
          <w:p w:rsidR="007C26E1" w:rsidRDefault="009F3470">
            <w:pPr>
              <w:widowControl w:val="0"/>
              <w:ind w:left="-108" w:hanging="21"/>
              <w:jc w:val="center"/>
            </w:pPr>
            <w:r>
              <w:t xml:space="preserve">Környezetvédelem, szállítás, leltározás </w:t>
            </w:r>
          </w:p>
          <w:p w:rsidR="007C26E1" w:rsidRDefault="009F3470">
            <w:pPr>
              <w:widowControl w:val="0"/>
              <w:spacing w:line="276" w:lineRule="auto"/>
              <w:ind w:left="-108" w:hanging="21"/>
              <w:jc w:val="center"/>
            </w:pPr>
            <w:r>
              <w:tab/>
            </w:r>
            <w:r>
              <w:tab/>
              <w:t>és vasúti tevékenység vezető</w:t>
            </w:r>
          </w:p>
        </w:tc>
      </w:tr>
      <w:tr w:rsidR="007C26E1">
        <w:tc>
          <w:tcPr>
            <w:tcW w:w="7372" w:type="dxa"/>
            <w:vAlign w:val="center"/>
          </w:tcPr>
          <w:p w:rsidR="007C26E1" w:rsidRDefault="007C26E1">
            <w:pPr>
              <w:widowControl w:val="0"/>
              <w:spacing w:line="276" w:lineRule="auto"/>
              <w:jc w:val="center"/>
              <w:rPr>
                <w:b/>
                <w:bCs/>
              </w:rPr>
            </w:pPr>
          </w:p>
        </w:tc>
        <w:tc>
          <w:tcPr>
            <w:tcW w:w="567" w:type="dxa"/>
            <w:vAlign w:val="center"/>
          </w:tcPr>
          <w:p w:rsidR="007C26E1" w:rsidRDefault="007C26E1">
            <w:pPr>
              <w:widowControl w:val="0"/>
              <w:spacing w:line="276" w:lineRule="auto"/>
              <w:jc w:val="center"/>
              <w:rPr>
                <w:b/>
                <w:bCs/>
              </w:rPr>
            </w:pPr>
          </w:p>
        </w:tc>
        <w:tc>
          <w:tcPr>
            <w:tcW w:w="7371" w:type="dxa"/>
            <w:gridSpan w:val="2"/>
            <w:vAlign w:val="center"/>
          </w:tcPr>
          <w:p w:rsidR="007C26E1" w:rsidRDefault="009F3470">
            <w:pPr>
              <w:widowControl w:val="0"/>
              <w:spacing w:line="276" w:lineRule="auto"/>
              <w:jc w:val="center"/>
              <w:rPr>
                <w:b/>
                <w:bCs/>
              </w:rPr>
            </w:pPr>
            <w:r>
              <w:rPr>
                <w:b/>
                <w:bCs/>
              </w:rPr>
              <w:t>MÁV Szolgáltató Központ Zrt.</w:t>
            </w:r>
          </w:p>
        </w:tc>
      </w:tr>
    </w:tbl>
    <w:p w:rsidR="007C26E1" w:rsidRDefault="007C26E1">
      <w:pPr>
        <w:spacing w:line="276" w:lineRule="auto"/>
      </w:pPr>
    </w:p>
    <w:sectPr w:rsidR="007C26E1">
      <w:headerReference w:type="default" r:id="rId19"/>
      <w:footerReference w:type="default" r:id="rId20"/>
      <w:headerReference w:type="first" r:id="rId21"/>
      <w:footerReference w:type="first" r:id="rId2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C1" w:rsidRDefault="00EC13C1">
      <w:r>
        <w:separator/>
      </w:r>
    </w:p>
  </w:endnote>
  <w:endnote w:type="continuationSeparator" w:id="0">
    <w:p w:rsidR="00EC13C1" w:rsidRDefault="00EC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rPr>
        <w:rStyle w:val="Oldalszm"/>
        <w:sz w:val="20"/>
        <w:szCs w:val="20"/>
      </w:rPr>
    </w:pPr>
    <w:r>
      <w:rPr>
        <w:rStyle w:val="Oldalszm"/>
        <w:sz w:val="20"/>
        <w:szCs w:val="20"/>
      </w:rPr>
      <w:t>Tárgy: 22. Kincstári fémhulladék árverés 1. tétel</w:t>
    </w:r>
    <w:r>
      <w:rPr>
        <w:rStyle w:val="Oldalszm"/>
        <w:sz w:val="20"/>
        <w:szCs w:val="20"/>
      </w:rPr>
      <w:tab/>
    </w:r>
    <w:r>
      <w:rPr>
        <w:rStyle w:val="Oldalszm"/>
        <w:sz w:val="20"/>
        <w:szCs w:val="20"/>
      </w:rPr>
      <w:tab/>
    </w:r>
  </w:p>
  <w:p w:rsidR="004E0CAF" w:rsidRDefault="00EC13C1">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4E0CAF">
              <w:rPr>
                <w:sz w:val="20"/>
                <w:szCs w:val="20"/>
              </w:rPr>
              <w:t xml:space="preserve">Oldal </w:t>
            </w:r>
            <w:r w:rsidR="004E0CAF">
              <w:rPr>
                <w:b/>
                <w:bCs/>
                <w:sz w:val="20"/>
                <w:szCs w:val="20"/>
              </w:rPr>
              <w:fldChar w:fldCharType="begin"/>
            </w:r>
            <w:r w:rsidR="004E0CAF">
              <w:rPr>
                <w:b/>
                <w:bCs/>
                <w:sz w:val="20"/>
                <w:szCs w:val="20"/>
              </w:rPr>
              <w:instrText xml:space="preserve">PAGE </w:instrText>
            </w:r>
            <w:r w:rsidR="004E0CAF">
              <w:rPr>
                <w:b/>
                <w:bCs/>
                <w:sz w:val="20"/>
                <w:szCs w:val="20"/>
              </w:rPr>
              <w:fldChar w:fldCharType="separate"/>
            </w:r>
            <w:r w:rsidR="0049229D">
              <w:rPr>
                <w:b/>
                <w:bCs/>
                <w:noProof/>
                <w:sz w:val="20"/>
                <w:szCs w:val="20"/>
              </w:rPr>
              <w:t>14</w:t>
            </w:r>
            <w:r w:rsidR="004E0CAF">
              <w:rPr>
                <w:b/>
                <w:bCs/>
                <w:sz w:val="20"/>
                <w:szCs w:val="20"/>
              </w:rPr>
              <w:fldChar w:fldCharType="end"/>
            </w:r>
            <w:r w:rsidR="004E0CAF">
              <w:rPr>
                <w:sz w:val="20"/>
                <w:szCs w:val="20"/>
              </w:rPr>
              <w:t xml:space="preserve"> / </w:t>
            </w:r>
            <w:r w:rsidR="004E0CAF">
              <w:rPr>
                <w:b/>
                <w:bCs/>
                <w:sz w:val="20"/>
                <w:szCs w:val="20"/>
              </w:rPr>
              <w:fldChar w:fldCharType="begin"/>
            </w:r>
            <w:r w:rsidR="004E0CAF">
              <w:rPr>
                <w:b/>
                <w:bCs/>
                <w:sz w:val="20"/>
                <w:szCs w:val="20"/>
              </w:rPr>
              <w:instrText xml:space="preserve">NUMPAGES </w:instrText>
            </w:r>
            <w:r w:rsidR="004E0CAF">
              <w:rPr>
                <w:b/>
                <w:bCs/>
                <w:sz w:val="20"/>
                <w:szCs w:val="20"/>
              </w:rPr>
              <w:fldChar w:fldCharType="separate"/>
            </w:r>
            <w:r w:rsidR="0049229D">
              <w:rPr>
                <w:b/>
                <w:bCs/>
                <w:noProof/>
                <w:sz w:val="20"/>
                <w:szCs w:val="20"/>
              </w:rPr>
              <w:t>15</w:t>
            </w:r>
            <w:r w:rsidR="004E0CAF">
              <w:rPr>
                <w:b/>
                <w:bCs/>
                <w:sz w:val="20"/>
                <w:szCs w:val="20"/>
              </w:rPr>
              <w:fldChar w:fldCharType="end"/>
            </w:r>
          </w:sdtContent>
        </w:sdt>
      </w:sdtContent>
    </w:sdt>
  </w:p>
  <w:p w:rsidR="004E0CAF" w:rsidRDefault="004E0CAF">
    <w:pPr>
      <w:pStyle w:val="llb"/>
      <w:jc w:val="right"/>
      <w:rPr>
        <w:sz w:val="20"/>
        <w:szCs w:val="20"/>
      </w:rPr>
    </w:pPr>
  </w:p>
  <w:p w:rsidR="004E0CAF" w:rsidRDefault="004E0CA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EC13C1">
    <w:pPr>
      <w:pStyle w:val="llb"/>
      <w:jc w:val="right"/>
      <w:rPr>
        <w:noProof/>
      </w:rPr>
    </w:pPr>
    <w:sdt>
      <w:sdtPr>
        <w:id w:val="1725571055"/>
        <w:docPartObj>
          <w:docPartGallery w:val="Page Numbers (Top of Page)"/>
          <w:docPartUnique/>
        </w:docPartObj>
      </w:sdtPr>
      <w:sdtEndPr/>
      <w:sdtContent>
        <w:r w:rsidR="004E0CAF">
          <w:t xml:space="preserve">Oldal </w:t>
        </w:r>
        <w:r w:rsidR="004E0CAF">
          <w:rPr>
            <w:b/>
            <w:bCs/>
          </w:rPr>
          <w:fldChar w:fldCharType="begin"/>
        </w:r>
        <w:r w:rsidR="004E0CAF">
          <w:rPr>
            <w:b/>
            <w:bCs/>
          </w:rPr>
          <w:instrText xml:space="preserve">PAGE </w:instrText>
        </w:r>
        <w:r w:rsidR="004E0CAF">
          <w:rPr>
            <w:b/>
            <w:bCs/>
          </w:rPr>
          <w:fldChar w:fldCharType="separate"/>
        </w:r>
        <w:r w:rsidR="0049229D">
          <w:rPr>
            <w:b/>
            <w:bCs/>
            <w:noProof/>
          </w:rPr>
          <w:t>1</w:t>
        </w:r>
        <w:r w:rsidR="004E0CAF">
          <w:rPr>
            <w:b/>
            <w:bCs/>
          </w:rPr>
          <w:fldChar w:fldCharType="end"/>
        </w:r>
        <w:r w:rsidR="004E0CAF">
          <w:t xml:space="preserve"> / </w:t>
        </w:r>
        <w:r w:rsidR="004E0CAF">
          <w:rPr>
            <w:b/>
            <w:bCs/>
          </w:rPr>
          <w:fldChar w:fldCharType="begin"/>
        </w:r>
        <w:r w:rsidR="004E0CAF">
          <w:rPr>
            <w:b/>
            <w:bCs/>
          </w:rPr>
          <w:instrText xml:space="preserve">NUMPAGES </w:instrText>
        </w:r>
        <w:r w:rsidR="004E0CAF">
          <w:rPr>
            <w:b/>
            <w:bCs/>
          </w:rPr>
          <w:fldChar w:fldCharType="separate"/>
        </w:r>
        <w:r w:rsidR="0049229D">
          <w:rPr>
            <w:b/>
            <w:bCs/>
            <w:noProof/>
          </w:rPr>
          <w:t>15</w:t>
        </w:r>
        <w:r w:rsidR="004E0CAF">
          <w:rPr>
            <w:b/>
            <w:bCs/>
          </w:rPr>
          <w:fldChar w:fldCharType="end"/>
        </w:r>
      </w:sdtContent>
    </w:sdt>
  </w:p>
  <w:p w:rsidR="004E0CAF" w:rsidRDefault="004E0CAF">
    <w:pPr>
      <w:pStyle w:val="ll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C1" w:rsidRDefault="00EC13C1">
      <w:r>
        <w:separator/>
      </w:r>
    </w:p>
  </w:footnote>
  <w:footnote w:type="continuationSeparator" w:id="0">
    <w:p w:rsidR="00EC13C1" w:rsidRDefault="00EC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rPr>
        <w:rFonts w:ascii="Arial" w:eastAsia="Arial" w:hAnsi="Arial" w:cs="Arial"/>
        <w:sz w:val="20"/>
        <w:szCs w:val="20"/>
      </w:rPr>
      <w:t>Ikt.sz.: /202</w:t>
    </w:r>
    <w:r w:rsidR="00B36F47">
      <w:rPr>
        <w:rFonts w:ascii="Arial" w:eastAsia="Arial" w:hAnsi="Arial" w:cs="Arial"/>
        <w:sz w:val="20"/>
        <w:szCs w:val="20"/>
      </w:rPr>
      <w:t>4</w:t>
    </w:r>
    <w:r>
      <w:rPr>
        <w:rFonts w:ascii="Arial" w:eastAsia="Arial" w:hAnsi="Arial" w:cs="Arial"/>
        <w:sz w:val="20"/>
        <w:szCs w:val="20"/>
      </w:rPr>
      <w:t>/SZK</w:t>
    </w:r>
  </w:p>
  <w:p w:rsidR="004E0CAF" w:rsidRDefault="004E0CAF">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tab/>
    </w:r>
    <w:r>
      <w:tab/>
    </w:r>
    <w:r w:rsidR="009D2729">
      <w:rPr>
        <w:rFonts w:ascii="Arial" w:eastAsia="Arial" w:hAnsi="Arial" w:cs="Arial"/>
        <w:sz w:val="20"/>
        <w:szCs w:val="20"/>
      </w:rPr>
      <w:t>Ikt.sz</w:t>
    </w:r>
    <w:proofErr w:type="gramStart"/>
    <w:r w:rsidR="009D2729">
      <w:rPr>
        <w:rFonts w:ascii="Arial" w:eastAsia="Arial" w:hAnsi="Arial" w:cs="Arial"/>
        <w:sz w:val="20"/>
        <w:szCs w:val="20"/>
      </w:rPr>
      <w:t>.:</w:t>
    </w:r>
    <w:proofErr w:type="gramEnd"/>
    <w:r w:rsidR="009D2729">
      <w:rPr>
        <w:rFonts w:ascii="Arial" w:eastAsia="Arial" w:hAnsi="Arial" w:cs="Arial"/>
        <w:sz w:val="20"/>
        <w:szCs w:val="20"/>
      </w:rPr>
      <w:t xml:space="preserve"> </w:t>
    </w:r>
    <w:r>
      <w:rPr>
        <w:rFonts w:ascii="Arial" w:eastAsia="Arial" w:hAnsi="Arial" w:cs="Arial"/>
        <w:sz w:val="20"/>
        <w:szCs w:val="20"/>
      </w:rPr>
      <w:t>/202</w:t>
    </w:r>
    <w:r w:rsidR="00561A21">
      <w:rPr>
        <w:rFonts w:ascii="Arial" w:eastAsia="Arial" w:hAnsi="Arial" w:cs="Arial"/>
        <w:sz w:val="20"/>
        <w:szCs w:val="20"/>
      </w:rPr>
      <w:t>4</w:t>
    </w:r>
    <w:r>
      <w:rPr>
        <w:rFonts w:ascii="Arial" w:eastAsia="Arial" w:hAnsi="Arial" w:cs="Arial"/>
        <w:sz w:val="20"/>
        <w:szCs w:val="20"/>
      </w:rPr>
      <w:t>/SZK</w:t>
    </w:r>
  </w:p>
  <w:p w:rsidR="004E0CAF" w:rsidRDefault="004E0CAF">
    <w:pPr>
      <w:jc w:val="right"/>
      <w:rPr>
        <w:rFonts w:ascii="Arial" w:hAnsi="Arial" w:cs="Arial"/>
        <w:sz w:val="20"/>
        <w:szCs w:val="20"/>
      </w:rPr>
    </w:pPr>
    <w:r>
      <w:tab/>
    </w:r>
    <w:r>
      <w:tab/>
    </w:r>
    <w:r>
      <w:tab/>
    </w: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w:t>
    </w:r>
    <w:r>
      <w:rPr>
        <w:rFonts w:ascii="Arial" w:hAnsi="Arial" w:cs="Arial"/>
        <w:sz w:val="20"/>
        <w:szCs w:val="20"/>
      </w:rPr>
      <w:tab/>
    </w:r>
  </w:p>
  <w:p w:rsidR="004E0CAF" w:rsidRDefault="004E0CAF">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rPr>
        <w:rFonts w:ascii="Arial" w:eastAsia="Arial" w:hAnsi="Arial" w:cs="Arial"/>
        <w:sz w:val="20"/>
        <w:szCs w:val="20"/>
      </w:rPr>
      <w:t>Ikt.sz.: 1886-2/2023/SZK</w:t>
    </w:r>
  </w:p>
  <w:p w:rsidR="004E0CAF" w:rsidRDefault="004E0CAF">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220902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176AA"/>
    <w:rsid w:val="00021257"/>
    <w:rsid w:val="000241F4"/>
    <w:rsid w:val="000248DE"/>
    <w:rsid w:val="00025DA3"/>
    <w:rsid w:val="00031BEA"/>
    <w:rsid w:val="000328B4"/>
    <w:rsid w:val="00032BCF"/>
    <w:rsid w:val="00034152"/>
    <w:rsid w:val="000403FC"/>
    <w:rsid w:val="00041698"/>
    <w:rsid w:val="00043E73"/>
    <w:rsid w:val="00071ED6"/>
    <w:rsid w:val="000749A4"/>
    <w:rsid w:val="00075AB1"/>
    <w:rsid w:val="00075F63"/>
    <w:rsid w:val="00084592"/>
    <w:rsid w:val="00084663"/>
    <w:rsid w:val="000857EB"/>
    <w:rsid w:val="00091C50"/>
    <w:rsid w:val="00095F9F"/>
    <w:rsid w:val="000979BE"/>
    <w:rsid w:val="000A00D9"/>
    <w:rsid w:val="000A4F7D"/>
    <w:rsid w:val="000A5035"/>
    <w:rsid w:val="000A52F7"/>
    <w:rsid w:val="000A5EC9"/>
    <w:rsid w:val="000B16A3"/>
    <w:rsid w:val="000B256D"/>
    <w:rsid w:val="000B4410"/>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E7DA0"/>
    <w:rsid w:val="000F10A5"/>
    <w:rsid w:val="000F1842"/>
    <w:rsid w:val="000F23B6"/>
    <w:rsid w:val="000F500F"/>
    <w:rsid w:val="000F62FF"/>
    <w:rsid w:val="000F6B41"/>
    <w:rsid w:val="000F759F"/>
    <w:rsid w:val="00101C41"/>
    <w:rsid w:val="00103E65"/>
    <w:rsid w:val="00105301"/>
    <w:rsid w:val="0011795B"/>
    <w:rsid w:val="00122DB1"/>
    <w:rsid w:val="00124577"/>
    <w:rsid w:val="00126759"/>
    <w:rsid w:val="00130212"/>
    <w:rsid w:val="001354A5"/>
    <w:rsid w:val="00141782"/>
    <w:rsid w:val="00142D98"/>
    <w:rsid w:val="0014761A"/>
    <w:rsid w:val="00152384"/>
    <w:rsid w:val="0015583B"/>
    <w:rsid w:val="00157B93"/>
    <w:rsid w:val="00161A72"/>
    <w:rsid w:val="00161A82"/>
    <w:rsid w:val="00162E9D"/>
    <w:rsid w:val="00163208"/>
    <w:rsid w:val="0017074C"/>
    <w:rsid w:val="0017091F"/>
    <w:rsid w:val="0017226B"/>
    <w:rsid w:val="00172851"/>
    <w:rsid w:val="00172D4A"/>
    <w:rsid w:val="00175B1D"/>
    <w:rsid w:val="00177CE5"/>
    <w:rsid w:val="00187345"/>
    <w:rsid w:val="00190C75"/>
    <w:rsid w:val="00190DE1"/>
    <w:rsid w:val="001942EC"/>
    <w:rsid w:val="001A08C4"/>
    <w:rsid w:val="001A10EE"/>
    <w:rsid w:val="001A34F2"/>
    <w:rsid w:val="001A506B"/>
    <w:rsid w:val="001A5D5A"/>
    <w:rsid w:val="001B0EB4"/>
    <w:rsid w:val="001B32DB"/>
    <w:rsid w:val="001C250A"/>
    <w:rsid w:val="001C6E8B"/>
    <w:rsid w:val="001C70E6"/>
    <w:rsid w:val="001D5FAC"/>
    <w:rsid w:val="001D6520"/>
    <w:rsid w:val="001D6B70"/>
    <w:rsid w:val="001E22EA"/>
    <w:rsid w:val="001E28E1"/>
    <w:rsid w:val="001E2E14"/>
    <w:rsid w:val="001E698D"/>
    <w:rsid w:val="001E7D2B"/>
    <w:rsid w:val="001F1F69"/>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2A1F"/>
    <w:rsid w:val="00223BCF"/>
    <w:rsid w:val="0022501A"/>
    <w:rsid w:val="00227B8B"/>
    <w:rsid w:val="00232D23"/>
    <w:rsid w:val="00236B8C"/>
    <w:rsid w:val="00237173"/>
    <w:rsid w:val="0024073B"/>
    <w:rsid w:val="00241A15"/>
    <w:rsid w:val="00244B49"/>
    <w:rsid w:val="00246BA8"/>
    <w:rsid w:val="0025053A"/>
    <w:rsid w:val="00250D62"/>
    <w:rsid w:val="00263504"/>
    <w:rsid w:val="00265BFC"/>
    <w:rsid w:val="0026776B"/>
    <w:rsid w:val="00267F84"/>
    <w:rsid w:val="002735C9"/>
    <w:rsid w:val="00276C10"/>
    <w:rsid w:val="002804E0"/>
    <w:rsid w:val="002815C0"/>
    <w:rsid w:val="002847E2"/>
    <w:rsid w:val="00284FAD"/>
    <w:rsid w:val="0028535F"/>
    <w:rsid w:val="0028749F"/>
    <w:rsid w:val="002945CB"/>
    <w:rsid w:val="002967C7"/>
    <w:rsid w:val="002A40F6"/>
    <w:rsid w:val="002A4691"/>
    <w:rsid w:val="002A7AAE"/>
    <w:rsid w:val="002B248C"/>
    <w:rsid w:val="002B3E05"/>
    <w:rsid w:val="002B4827"/>
    <w:rsid w:val="002B4FD8"/>
    <w:rsid w:val="002C407E"/>
    <w:rsid w:val="002E1EED"/>
    <w:rsid w:val="002E2201"/>
    <w:rsid w:val="002E7333"/>
    <w:rsid w:val="002E7A1A"/>
    <w:rsid w:val="002F11E3"/>
    <w:rsid w:val="002F20FF"/>
    <w:rsid w:val="002F2A48"/>
    <w:rsid w:val="002F399B"/>
    <w:rsid w:val="002F4441"/>
    <w:rsid w:val="002F5418"/>
    <w:rsid w:val="00300C67"/>
    <w:rsid w:val="0030422F"/>
    <w:rsid w:val="00304435"/>
    <w:rsid w:val="00313977"/>
    <w:rsid w:val="003154D5"/>
    <w:rsid w:val="00320751"/>
    <w:rsid w:val="0032205A"/>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656F"/>
    <w:rsid w:val="00377D07"/>
    <w:rsid w:val="00377F15"/>
    <w:rsid w:val="00382D06"/>
    <w:rsid w:val="00385030"/>
    <w:rsid w:val="00392106"/>
    <w:rsid w:val="00397FAD"/>
    <w:rsid w:val="003A2B5E"/>
    <w:rsid w:val="003A34CA"/>
    <w:rsid w:val="003A3550"/>
    <w:rsid w:val="003A479F"/>
    <w:rsid w:val="003B2B95"/>
    <w:rsid w:val="003B3272"/>
    <w:rsid w:val="003B472A"/>
    <w:rsid w:val="003B54A5"/>
    <w:rsid w:val="003B55B9"/>
    <w:rsid w:val="003C10DF"/>
    <w:rsid w:val="003C3E82"/>
    <w:rsid w:val="003C634D"/>
    <w:rsid w:val="003D51A8"/>
    <w:rsid w:val="003E38AF"/>
    <w:rsid w:val="003E714B"/>
    <w:rsid w:val="003F432A"/>
    <w:rsid w:val="003F5981"/>
    <w:rsid w:val="00411E3D"/>
    <w:rsid w:val="00412B6E"/>
    <w:rsid w:val="00412E77"/>
    <w:rsid w:val="004166B1"/>
    <w:rsid w:val="00422058"/>
    <w:rsid w:val="004224A0"/>
    <w:rsid w:val="00434995"/>
    <w:rsid w:val="00437127"/>
    <w:rsid w:val="004411DC"/>
    <w:rsid w:val="004413B3"/>
    <w:rsid w:val="0044294F"/>
    <w:rsid w:val="004452D5"/>
    <w:rsid w:val="00445EE0"/>
    <w:rsid w:val="00447935"/>
    <w:rsid w:val="00453737"/>
    <w:rsid w:val="00454643"/>
    <w:rsid w:val="00455F54"/>
    <w:rsid w:val="00464A2F"/>
    <w:rsid w:val="00474672"/>
    <w:rsid w:val="00474874"/>
    <w:rsid w:val="00481C5E"/>
    <w:rsid w:val="00486A06"/>
    <w:rsid w:val="00487B8C"/>
    <w:rsid w:val="0049229D"/>
    <w:rsid w:val="00493ED1"/>
    <w:rsid w:val="004966A7"/>
    <w:rsid w:val="00496D4D"/>
    <w:rsid w:val="004A0248"/>
    <w:rsid w:val="004A5034"/>
    <w:rsid w:val="004A51C5"/>
    <w:rsid w:val="004B0D91"/>
    <w:rsid w:val="004B5FE7"/>
    <w:rsid w:val="004B647B"/>
    <w:rsid w:val="004B6EC5"/>
    <w:rsid w:val="004B7949"/>
    <w:rsid w:val="004C30A9"/>
    <w:rsid w:val="004C41F1"/>
    <w:rsid w:val="004C65CA"/>
    <w:rsid w:val="004C7D3F"/>
    <w:rsid w:val="004D3432"/>
    <w:rsid w:val="004D4080"/>
    <w:rsid w:val="004D4856"/>
    <w:rsid w:val="004E022C"/>
    <w:rsid w:val="004E04DF"/>
    <w:rsid w:val="004E0CA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61A21"/>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A6E9B"/>
    <w:rsid w:val="005B1ECD"/>
    <w:rsid w:val="005B6D5F"/>
    <w:rsid w:val="005C0D21"/>
    <w:rsid w:val="005C125F"/>
    <w:rsid w:val="005C1922"/>
    <w:rsid w:val="005C2C46"/>
    <w:rsid w:val="005C2F48"/>
    <w:rsid w:val="005C39A2"/>
    <w:rsid w:val="005C40FB"/>
    <w:rsid w:val="005C4BD5"/>
    <w:rsid w:val="005C637E"/>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680"/>
    <w:rsid w:val="00616CDB"/>
    <w:rsid w:val="00616ECF"/>
    <w:rsid w:val="0061732E"/>
    <w:rsid w:val="0061741D"/>
    <w:rsid w:val="00617482"/>
    <w:rsid w:val="006204A0"/>
    <w:rsid w:val="00627853"/>
    <w:rsid w:val="0063029E"/>
    <w:rsid w:val="00631072"/>
    <w:rsid w:val="006314BB"/>
    <w:rsid w:val="00634F3A"/>
    <w:rsid w:val="00636578"/>
    <w:rsid w:val="0064210E"/>
    <w:rsid w:val="006561B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5921"/>
    <w:rsid w:val="006A74BD"/>
    <w:rsid w:val="006A7B69"/>
    <w:rsid w:val="006B15E9"/>
    <w:rsid w:val="006B5B18"/>
    <w:rsid w:val="006D30F2"/>
    <w:rsid w:val="006D3F34"/>
    <w:rsid w:val="006D5321"/>
    <w:rsid w:val="006D6D72"/>
    <w:rsid w:val="006D7073"/>
    <w:rsid w:val="006D7600"/>
    <w:rsid w:val="006D7C05"/>
    <w:rsid w:val="006E3D2A"/>
    <w:rsid w:val="006E4243"/>
    <w:rsid w:val="006E506A"/>
    <w:rsid w:val="006F55F8"/>
    <w:rsid w:val="00702371"/>
    <w:rsid w:val="00704CA9"/>
    <w:rsid w:val="00706664"/>
    <w:rsid w:val="00715874"/>
    <w:rsid w:val="007163B9"/>
    <w:rsid w:val="00720B4D"/>
    <w:rsid w:val="00720CEB"/>
    <w:rsid w:val="00721D0F"/>
    <w:rsid w:val="00726F62"/>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5540"/>
    <w:rsid w:val="007B669F"/>
    <w:rsid w:val="007B7E79"/>
    <w:rsid w:val="007C26E1"/>
    <w:rsid w:val="007C2CE5"/>
    <w:rsid w:val="007D6C36"/>
    <w:rsid w:val="007E1616"/>
    <w:rsid w:val="007E5DA4"/>
    <w:rsid w:val="007E6DF5"/>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63794"/>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A4B4F"/>
    <w:rsid w:val="008A66F4"/>
    <w:rsid w:val="008C0823"/>
    <w:rsid w:val="008C0EDE"/>
    <w:rsid w:val="008C27DA"/>
    <w:rsid w:val="008D09AB"/>
    <w:rsid w:val="008D268F"/>
    <w:rsid w:val="008E2F2A"/>
    <w:rsid w:val="008E36BB"/>
    <w:rsid w:val="008E3D51"/>
    <w:rsid w:val="008E3E00"/>
    <w:rsid w:val="008F2189"/>
    <w:rsid w:val="008F2D2A"/>
    <w:rsid w:val="008F492D"/>
    <w:rsid w:val="008F6D8E"/>
    <w:rsid w:val="00906AE3"/>
    <w:rsid w:val="009106CF"/>
    <w:rsid w:val="00912243"/>
    <w:rsid w:val="009167E5"/>
    <w:rsid w:val="00916CD8"/>
    <w:rsid w:val="00917463"/>
    <w:rsid w:val="00921AD5"/>
    <w:rsid w:val="00922511"/>
    <w:rsid w:val="00922FD6"/>
    <w:rsid w:val="0092413B"/>
    <w:rsid w:val="0092679E"/>
    <w:rsid w:val="0094051A"/>
    <w:rsid w:val="00944A22"/>
    <w:rsid w:val="009455E1"/>
    <w:rsid w:val="00947697"/>
    <w:rsid w:val="00951BB3"/>
    <w:rsid w:val="009552F6"/>
    <w:rsid w:val="00955510"/>
    <w:rsid w:val="00956885"/>
    <w:rsid w:val="00957E00"/>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2729"/>
    <w:rsid w:val="009D5827"/>
    <w:rsid w:val="009E0B95"/>
    <w:rsid w:val="009E2192"/>
    <w:rsid w:val="009E37C4"/>
    <w:rsid w:val="009E5BE4"/>
    <w:rsid w:val="009F3470"/>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5C48"/>
    <w:rsid w:val="00A462DA"/>
    <w:rsid w:val="00A47A3A"/>
    <w:rsid w:val="00A515F3"/>
    <w:rsid w:val="00A57E91"/>
    <w:rsid w:val="00A66FE8"/>
    <w:rsid w:val="00A73562"/>
    <w:rsid w:val="00A81EE5"/>
    <w:rsid w:val="00A83AB9"/>
    <w:rsid w:val="00A87B8E"/>
    <w:rsid w:val="00A94420"/>
    <w:rsid w:val="00AA14F5"/>
    <w:rsid w:val="00AA4579"/>
    <w:rsid w:val="00AA5032"/>
    <w:rsid w:val="00AA56FF"/>
    <w:rsid w:val="00AB0498"/>
    <w:rsid w:val="00AB0AD7"/>
    <w:rsid w:val="00AB3C01"/>
    <w:rsid w:val="00AB4196"/>
    <w:rsid w:val="00AC3A9F"/>
    <w:rsid w:val="00AC44E3"/>
    <w:rsid w:val="00AC4BBC"/>
    <w:rsid w:val="00AD054A"/>
    <w:rsid w:val="00AD623F"/>
    <w:rsid w:val="00AD6641"/>
    <w:rsid w:val="00AD7D65"/>
    <w:rsid w:val="00AE152E"/>
    <w:rsid w:val="00AE33CC"/>
    <w:rsid w:val="00AF03BC"/>
    <w:rsid w:val="00AF33F1"/>
    <w:rsid w:val="00B02782"/>
    <w:rsid w:val="00B02D4E"/>
    <w:rsid w:val="00B0531D"/>
    <w:rsid w:val="00B062D0"/>
    <w:rsid w:val="00B07FB9"/>
    <w:rsid w:val="00B10D58"/>
    <w:rsid w:val="00B116FB"/>
    <w:rsid w:val="00B1469F"/>
    <w:rsid w:val="00B20950"/>
    <w:rsid w:val="00B2163A"/>
    <w:rsid w:val="00B23140"/>
    <w:rsid w:val="00B2685A"/>
    <w:rsid w:val="00B315D6"/>
    <w:rsid w:val="00B32242"/>
    <w:rsid w:val="00B32FFC"/>
    <w:rsid w:val="00B33821"/>
    <w:rsid w:val="00B36F47"/>
    <w:rsid w:val="00B4062D"/>
    <w:rsid w:val="00B407AF"/>
    <w:rsid w:val="00B4476A"/>
    <w:rsid w:val="00B45D0A"/>
    <w:rsid w:val="00B46046"/>
    <w:rsid w:val="00B46429"/>
    <w:rsid w:val="00B51BD6"/>
    <w:rsid w:val="00B52952"/>
    <w:rsid w:val="00B60A75"/>
    <w:rsid w:val="00B6591F"/>
    <w:rsid w:val="00B77044"/>
    <w:rsid w:val="00B8098A"/>
    <w:rsid w:val="00B85062"/>
    <w:rsid w:val="00B97501"/>
    <w:rsid w:val="00BA2B60"/>
    <w:rsid w:val="00BB0B23"/>
    <w:rsid w:val="00BB1D49"/>
    <w:rsid w:val="00BB4ADB"/>
    <w:rsid w:val="00BB7E15"/>
    <w:rsid w:val="00BC22D4"/>
    <w:rsid w:val="00BC2451"/>
    <w:rsid w:val="00BC31BA"/>
    <w:rsid w:val="00BC4D53"/>
    <w:rsid w:val="00BC6E35"/>
    <w:rsid w:val="00BC771C"/>
    <w:rsid w:val="00BD4729"/>
    <w:rsid w:val="00BD537A"/>
    <w:rsid w:val="00BD6051"/>
    <w:rsid w:val="00BD65A6"/>
    <w:rsid w:val="00BE34B2"/>
    <w:rsid w:val="00BE3893"/>
    <w:rsid w:val="00BF076D"/>
    <w:rsid w:val="00BF4E5A"/>
    <w:rsid w:val="00BF62BE"/>
    <w:rsid w:val="00C0141B"/>
    <w:rsid w:val="00C03E34"/>
    <w:rsid w:val="00C04C83"/>
    <w:rsid w:val="00C110D9"/>
    <w:rsid w:val="00C14734"/>
    <w:rsid w:val="00C23C07"/>
    <w:rsid w:val="00C31450"/>
    <w:rsid w:val="00C33A59"/>
    <w:rsid w:val="00C34047"/>
    <w:rsid w:val="00C517B2"/>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E84"/>
    <w:rsid w:val="00C96AC7"/>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23B5"/>
    <w:rsid w:val="00CE2A92"/>
    <w:rsid w:val="00CE2C74"/>
    <w:rsid w:val="00CE4192"/>
    <w:rsid w:val="00CF0DEC"/>
    <w:rsid w:val="00D00217"/>
    <w:rsid w:val="00D06F01"/>
    <w:rsid w:val="00D13869"/>
    <w:rsid w:val="00D15F39"/>
    <w:rsid w:val="00D178D1"/>
    <w:rsid w:val="00D20D64"/>
    <w:rsid w:val="00D20FBB"/>
    <w:rsid w:val="00D214B4"/>
    <w:rsid w:val="00D241C6"/>
    <w:rsid w:val="00D244BA"/>
    <w:rsid w:val="00D27AE9"/>
    <w:rsid w:val="00D30193"/>
    <w:rsid w:val="00D31980"/>
    <w:rsid w:val="00D33A51"/>
    <w:rsid w:val="00D34610"/>
    <w:rsid w:val="00D43052"/>
    <w:rsid w:val="00D433A3"/>
    <w:rsid w:val="00D45EA3"/>
    <w:rsid w:val="00D46A2F"/>
    <w:rsid w:val="00D5008A"/>
    <w:rsid w:val="00D56466"/>
    <w:rsid w:val="00D631CF"/>
    <w:rsid w:val="00D63CD2"/>
    <w:rsid w:val="00D6679E"/>
    <w:rsid w:val="00D7459D"/>
    <w:rsid w:val="00D74A98"/>
    <w:rsid w:val="00D75D98"/>
    <w:rsid w:val="00D77D6F"/>
    <w:rsid w:val="00D80DAF"/>
    <w:rsid w:val="00D80E19"/>
    <w:rsid w:val="00D819D0"/>
    <w:rsid w:val="00D83284"/>
    <w:rsid w:val="00D83C98"/>
    <w:rsid w:val="00D92161"/>
    <w:rsid w:val="00D95131"/>
    <w:rsid w:val="00D96CD9"/>
    <w:rsid w:val="00DA13CF"/>
    <w:rsid w:val="00DA5E91"/>
    <w:rsid w:val="00DA7293"/>
    <w:rsid w:val="00DB34B7"/>
    <w:rsid w:val="00DB61C8"/>
    <w:rsid w:val="00DC0322"/>
    <w:rsid w:val="00DC22F1"/>
    <w:rsid w:val="00DD0EAA"/>
    <w:rsid w:val="00DD33BF"/>
    <w:rsid w:val="00DE13EC"/>
    <w:rsid w:val="00DE2782"/>
    <w:rsid w:val="00DE30C6"/>
    <w:rsid w:val="00DE351F"/>
    <w:rsid w:val="00DF06C7"/>
    <w:rsid w:val="00DF0CEF"/>
    <w:rsid w:val="00DF417C"/>
    <w:rsid w:val="00DF45DB"/>
    <w:rsid w:val="00DF50D9"/>
    <w:rsid w:val="00DF7C05"/>
    <w:rsid w:val="00DF7D86"/>
    <w:rsid w:val="00E028BD"/>
    <w:rsid w:val="00E02B64"/>
    <w:rsid w:val="00E113BA"/>
    <w:rsid w:val="00E1173C"/>
    <w:rsid w:val="00E13275"/>
    <w:rsid w:val="00E15DBD"/>
    <w:rsid w:val="00E23392"/>
    <w:rsid w:val="00E25095"/>
    <w:rsid w:val="00E25B7C"/>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0C7A"/>
    <w:rsid w:val="00E83552"/>
    <w:rsid w:val="00E905ED"/>
    <w:rsid w:val="00E94EA9"/>
    <w:rsid w:val="00EA0036"/>
    <w:rsid w:val="00EA0BAD"/>
    <w:rsid w:val="00EA108B"/>
    <w:rsid w:val="00EA1A1C"/>
    <w:rsid w:val="00EA3EC6"/>
    <w:rsid w:val="00EA72D5"/>
    <w:rsid w:val="00EB0B8F"/>
    <w:rsid w:val="00EB1FCF"/>
    <w:rsid w:val="00EB2162"/>
    <w:rsid w:val="00EB3C22"/>
    <w:rsid w:val="00EB52CC"/>
    <w:rsid w:val="00EB704E"/>
    <w:rsid w:val="00EC00FD"/>
    <w:rsid w:val="00EC13C1"/>
    <w:rsid w:val="00EC3FA4"/>
    <w:rsid w:val="00EC6F91"/>
    <w:rsid w:val="00EC79D0"/>
    <w:rsid w:val="00ED050A"/>
    <w:rsid w:val="00ED22DB"/>
    <w:rsid w:val="00ED298D"/>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56B97"/>
    <w:rsid w:val="00F6134A"/>
    <w:rsid w:val="00F61D4B"/>
    <w:rsid w:val="00F63EC7"/>
    <w:rsid w:val="00F73055"/>
    <w:rsid w:val="00F734C7"/>
    <w:rsid w:val="00F73694"/>
    <w:rsid w:val="00F740D9"/>
    <w:rsid w:val="00F829A0"/>
    <w:rsid w:val="00F83268"/>
    <w:rsid w:val="00F84715"/>
    <w:rsid w:val="00F85FEE"/>
    <w:rsid w:val="00F91163"/>
    <w:rsid w:val="00F92076"/>
    <w:rsid w:val="00F938C0"/>
    <w:rsid w:val="00F9442C"/>
    <w:rsid w:val="00FA0AE0"/>
    <w:rsid w:val="00FA1AB2"/>
    <w:rsid w:val="00FA2E37"/>
    <w:rsid w:val="00FB3964"/>
    <w:rsid w:val="00FB4861"/>
    <w:rsid w:val="00FB603A"/>
    <w:rsid w:val="00FB7084"/>
    <w:rsid w:val="00FC09B1"/>
    <w:rsid w:val="00FC1819"/>
    <w:rsid w:val="00FC794A"/>
    <w:rsid w:val="00FE06CE"/>
    <w:rsid w:val="00FE58CA"/>
    <w:rsid w:val="00FE6C7C"/>
    <w:rsid w:val="00FE705B"/>
    <w:rsid w:val="00FE7EDA"/>
    <w:rsid w:val="00FF1B8B"/>
    <w:rsid w:val="00FF321F"/>
    <w:rsid w:val="00FF40A7"/>
    <w:rsid w:val="00FF42FB"/>
    <w:rsid w:val="00FF5B24"/>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574E"/>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5645">
      <w:bodyDiv w:val="1"/>
      <w:marLeft w:val="0"/>
      <w:marRight w:val="0"/>
      <w:marTop w:val="0"/>
      <w:marBottom w:val="0"/>
      <w:divBdr>
        <w:top w:val="none" w:sz="0" w:space="0" w:color="auto"/>
        <w:left w:val="none" w:sz="0" w:space="0" w:color="auto"/>
        <w:bottom w:val="none" w:sz="0" w:space="0" w:color="auto"/>
        <w:right w:val="none" w:sz="0" w:space="0" w:color="auto"/>
      </w:divBdr>
    </w:div>
    <w:div w:id="250313449">
      <w:bodyDiv w:val="1"/>
      <w:marLeft w:val="0"/>
      <w:marRight w:val="0"/>
      <w:marTop w:val="0"/>
      <w:marBottom w:val="0"/>
      <w:divBdr>
        <w:top w:val="none" w:sz="0" w:space="0" w:color="auto"/>
        <w:left w:val="none" w:sz="0" w:space="0" w:color="auto"/>
        <w:bottom w:val="none" w:sz="0" w:space="0" w:color="auto"/>
        <w:right w:val="none" w:sz="0" w:space="0" w:color="auto"/>
      </w:divBdr>
    </w:div>
    <w:div w:id="484246300">
      <w:bodyDiv w:val="1"/>
      <w:marLeft w:val="0"/>
      <w:marRight w:val="0"/>
      <w:marTop w:val="0"/>
      <w:marBottom w:val="0"/>
      <w:divBdr>
        <w:top w:val="none" w:sz="0" w:space="0" w:color="auto"/>
        <w:left w:val="none" w:sz="0" w:space="0" w:color="auto"/>
        <w:bottom w:val="none" w:sz="0" w:space="0" w:color="auto"/>
        <w:right w:val="none" w:sz="0" w:space="0" w:color="auto"/>
      </w:divBdr>
    </w:div>
    <w:div w:id="505436120">
      <w:bodyDiv w:val="1"/>
      <w:marLeft w:val="0"/>
      <w:marRight w:val="0"/>
      <w:marTop w:val="0"/>
      <w:marBottom w:val="0"/>
      <w:divBdr>
        <w:top w:val="none" w:sz="0" w:space="0" w:color="auto"/>
        <w:left w:val="none" w:sz="0" w:space="0" w:color="auto"/>
        <w:bottom w:val="none" w:sz="0" w:space="0" w:color="auto"/>
        <w:right w:val="none" w:sz="0" w:space="0" w:color="auto"/>
      </w:divBdr>
    </w:div>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046946801">
      <w:bodyDiv w:val="1"/>
      <w:marLeft w:val="0"/>
      <w:marRight w:val="0"/>
      <w:marTop w:val="0"/>
      <w:marBottom w:val="0"/>
      <w:divBdr>
        <w:top w:val="none" w:sz="0" w:space="0" w:color="auto"/>
        <w:left w:val="none" w:sz="0" w:space="0" w:color="auto"/>
        <w:bottom w:val="none" w:sz="0" w:space="0" w:color="auto"/>
        <w:right w:val="none" w:sz="0" w:space="0" w:color="auto"/>
      </w:divBdr>
    </w:div>
    <w:div w:id="1363440344">
      <w:bodyDiv w:val="1"/>
      <w:marLeft w:val="0"/>
      <w:marRight w:val="0"/>
      <w:marTop w:val="0"/>
      <w:marBottom w:val="0"/>
      <w:divBdr>
        <w:top w:val="none" w:sz="0" w:space="0" w:color="auto"/>
        <w:left w:val="none" w:sz="0" w:space="0" w:color="auto"/>
        <w:bottom w:val="none" w:sz="0" w:space="0" w:color="auto"/>
        <w:right w:val="none" w:sz="0" w:space="0" w:color="auto"/>
      </w:divBdr>
    </w:div>
    <w:div w:id="1369523537">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 w:id="1820262784">
      <w:bodyDiv w:val="1"/>
      <w:marLeft w:val="0"/>
      <w:marRight w:val="0"/>
      <w:marTop w:val="0"/>
      <w:marBottom w:val="0"/>
      <w:divBdr>
        <w:top w:val="none" w:sz="0" w:space="0" w:color="auto"/>
        <w:left w:val="none" w:sz="0" w:space="0" w:color="auto"/>
        <w:bottom w:val="none" w:sz="0" w:space="0" w:color="auto"/>
        <w:right w:val="none" w:sz="0" w:space="0" w:color="auto"/>
      </w:divBdr>
    </w:div>
    <w:div w:id="18622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vcsoport.hu/mav-szk/adatkezelesi-tajekoztat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szerzodeskotesekhez-kapcs-alt-adatkezelesi-tajekoztato" TargetMode="External"/><Relationship Id="rId22"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2.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4.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5.xml><?xml version="1.0" encoding="utf-8"?>
<ds:datastoreItem xmlns:ds="http://schemas.openxmlformats.org/officeDocument/2006/customXml" ds:itemID="{A1B8D67E-4C6D-4680-A5AB-C4904D9A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4706</Words>
  <Characters>32474</Characters>
  <Application>Microsoft Office Word</Application>
  <DocSecurity>0</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28</cp:revision>
  <cp:lastPrinted>2023-03-02T12:32:00Z</cp:lastPrinted>
  <dcterms:created xsi:type="dcterms:W3CDTF">2023-03-01T14:31:00Z</dcterms:created>
  <dcterms:modified xsi:type="dcterms:W3CDTF">2024-02-29T15:20:00Z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332174302</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