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5E4021">
        <w:rPr>
          <w:rFonts w:ascii="Times New Roman" w:eastAsia="Times New Roman" w:hAnsi="Times New Roman" w:cs="Times New Roman"/>
          <w:b/>
          <w:sz w:val="24"/>
          <w:szCs w:val="20"/>
          <w:lang w:eastAsia="hu-HU"/>
        </w:rPr>
        <w:t>október</w:t>
      </w:r>
      <w:r w:rsidR="00E03A3C">
        <w:rPr>
          <w:rFonts w:ascii="Times New Roman" w:eastAsia="Times New Roman" w:hAnsi="Times New Roman" w:cs="Times New Roman"/>
          <w:b/>
          <w:sz w:val="24"/>
          <w:szCs w:val="20"/>
          <w:lang w:eastAsia="hu-HU"/>
        </w:rPr>
        <w:t xml:space="preserve"> </w:t>
      </w:r>
      <w:r w:rsidR="005E4021">
        <w:rPr>
          <w:rFonts w:ascii="Times New Roman" w:eastAsia="Times New Roman" w:hAnsi="Times New Roman" w:cs="Times New Roman"/>
          <w:b/>
          <w:sz w:val="24"/>
          <w:szCs w:val="20"/>
          <w:lang w:eastAsia="hu-HU"/>
        </w:rPr>
        <w:t>09</w:t>
      </w:r>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0C7DE9">
        <w:rPr>
          <w:rFonts w:ascii="Times New Roman" w:eastAsia="Times New Roman" w:hAnsi="Times New Roman" w:cs="Times New Roman"/>
          <w:b/>
          <w:sz w:val="24"/>
          <w:szCs w:val="20"/>
          <w:lang w:eastAsia="hu-HU"/>
        </w:rPr>
        <w:t>1</w:t>
      </w:r>
      <w:r w:rsidR="005E4021">
        <w:rPr>
          <w:rFonts w:ascii="Times New Roman" w:eastAsia="Times New Roman" w:hAnsi="Times New Roman" w:cs="Times New Roman"/>
          <w:b/>
          <w:sz w:val="24"/>
          <w:szCs w:val="20"/>
          <w:lang w:eastAsia="hu-HU"/>
        </w:rPr>
        <w:t xml:space="preserve">0 </w:t>
      </w:r>
      <w:r w:rsidRPr="00934B6B">
        <w:rPr>
          <w:rFonts w:ascii="Times New Roman" w:eastAsia="Times New Roman" w:hAnsi="Times New Roman" w:cs="Times New Roman"/>
          <w:b/>
          <w:sz w:val="24"/>
          <w:szCs w:val="20"/>
          <w:lang w:eastAsia="hu-HU"/>
        </w:rPr>
        <w:t>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934B6B">
        <w:rPr>
          <w:rFonts w:ascii="Times New Roman" w:eastAsia="Calibri" w:hAnsi="Times New Roman" w:cs="Times New Roman"/>
          <w:sz w:val="24"/>
          <w:szCs w:val="24"/>
        </w:rPr>
        <w:t>ezen</w:t>
      </w:r>
      <w:proofErr w:type="gramEnd"/>
      <w:r w:rsidRPr="00934B6B">
        <w:rPr>
          <w:rFonts w:ascii="Times New Roman" w:eastAsia="Calibri" w:hAnsi="Times New Roman" w:cs="Times New Roman"/>
          <w:sz w:val="24"/>
          <w:szCs w:val="24"/>
        </w:rPr>
        <w:t xml:space="preserve">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5E4021">
        <w:rPr>
          <w:rFonts w:ascii="Times New Roman" w:eastAsia="Times New Roman" w:hAnsi="Times New Roman" w:cs="Times New Roman"/>
          <w:b/>
          <w:sz w:val="24"/>
          <w:szCs w:val="20"/>
          <w:lang w:eastAsia="hu-HU"/>
        </w:rPr>
        <w:t>Sebességváltó alkatrészek</w:t>
      </w:r>
      <w:r w:rsidR="000C7DE9">
        <w:rPr>
          <w:rFonts w:ascii="Times New Roman" w:eastAsia="Times New Roman" w:hAnsi="Times New Roman" w:cs="Times New Roman"/>
          <w:b/>
          <w:sz w:val="24"/>
          <w:szCs w:val="20"/>
          <w:lang w:eastAsia="hu-HU"/>
        </w:rPr>
        <w:t xml:space="preserve"> beszerzése</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 xml:space="preserve">szerződés aláírásától számított </w:t>
      </w:r>
      <w:r w:rsidR="000C7DE9">
        <w:rPr>
          <w:rFonts w:ascii="Times New Roman" w:hAnsi="Times New Roman"/>
          <w:sz w:val="24"/>
          <w:szCs w:val="24"/>
        </w:rPr>
        <w:t>1-</w:t>
      </w:r>
      <w:r w:rsidR="005E4021">
        <w:rPr>
          <w:rFonts w:ascii="Times New Roman" w:hAnsi="Times New Roman"/>
          <w:sz w:val="24"/>
          <w:szCs w:val="24"/>
        </w:rPr>
        <w:t>3</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Az ajánlattevővel kapcsolatban nincs korábbi rossz tapasztalat (</w:t>
      </w:r>
      <w:proofErr w:type="spellStart"/>
      <w:r w:rsidRPr="00934B6B">
        <w:rPr>
          <w:rFonts w:ascii="Times New Roman" w:eastAsia="Times New Roman" w:hAnsi="Times New Roman" w:cs="Times New Roman"/>
          <w:sz w:val="24"/>
          <w:szCs w:val="24"/>
          <w:lang w:eastAsia="hu-HU"/>
        </w:rPr>
        <w:t>nemteljesítés</w:t>
      </w:r>
      <w:proofErr w:type="spellEnd"/>
      <w:r w:rsidRPr="00934B6B">
        <w:rPr>
          <w:rFonts w:ascii="Times New Roman" w:eastAsia="Times New Roman" w:hAnsi="Times New Roman" w:cs="Times New Roman"/>
          <w:sz w:val="24"/>
          <w:szCs w:val="24"/>
          <w:lang w:eastAsia="hu-HU"/>
        </w:rPr>
        <w:t xml:space="preserve">;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C02D5D"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6E7575">
        <w:rPr>
          <w:rFonts w:ascii="Times New Roman" w:hAnsi="Times New Roman"/>
          <w:b/>
          <w:sz w:val="24"/>
          <w:szCs w:val="24"/>
        </w:rPr>
        <w:t>e-mail</w:t>
      </w:r>
      <w:proofErr w:type="gramEnd"/>
      <w:r w:rsidRPr="006E7575">
        <w:rPr>
          <w:rFonts w:ascii="Times New Roman" w:hAnsi="Times New Roman"/>
          <w:b/>
          <w:sz w:val="24"/>
          <w:szCs w:val="24"/>
        </w:rPr>
        <w:t xml:space="preserve">: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ajánlattevőnek, az ajánlatadás évét megelőző 2 évre vonatkozó </w:t>
      </w:r>
      <w:proofErr w:type="spellStart"/>
      <w:r w:rsidRPr="00934B6B">
        <w:rPr>
          <w:rFonts w:ascii="Times New Roman" w:eastAsia="Times New Roman" w:hAnsi="Times New Roman" w:cs="Times New Roman"/>
          <w:sz w:val="24"/>
          <w:szCs w:val="20"/>
          <w:lang w:eastAsia="hu-HU"/>
        </w:rPr>
        <w:t>eredménykimutatását</w:t>
      </w:r>
      <w:proofErr w:type="spellEnd"/>
      <w:r w:rsidRPr="00934B6B">
        <w:rPr>
          <w:rFonts w:ascii="Times New Roman" w:eastAsia="Times New Roman" w:hAnsi="Times New Roman" w:cs="Times New Roman"/>
          <w:sz w:val="24"/>
          <w:szCs w:val="20"/>
          <w:lang w:eastAsia="hu-HU"/>
        </w:rPr>
        <w:t xml:space="preserve">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w:t>
      </w:r>
      <w:proofErr w:type="gramStart"/>
      <w:r w:rsidRPr="00934B6B">
        <w:rPr>
          <w:rFonts w:ascii="Times New Roman" w:eastAsia="Times New Roman" w:hAnsi="Times New Roman" w:cs="Times New Roman"/>
          <w:sz w:val="24"/>
          <w:szCs w:val="20"/>
          <w:lang w:eastAsia="hu-HU"/>
        </w:rPr>
        <w:t>.,</w:t>
      </w:r>
      <w:proofErr w:type="gramEnd"/>
      <w:r w:rsidRPr="00934B6B">
        <w:rPr>
          <w:rFonts w:ascii="Times New Roman" w:eastAsia="Times New Roman" w:hAnsi="Times New Roman" w:cs="Times New Roman"/>
          <w:sz w:val="24"/>
          <w:szCs w:val="20"/>
          <w:lang w:eastAsia="hu-HU"/>
        </w:rPr>
        <w:t xml:space="preserve">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0C7DE9">
        <w:rPr>
          <w:rFonts w:ascii="Times New Roman" w:hAnsi="Times New Roman"/>
          <w:b/>
          <w:sz w:val="24"/>
          <w:szCs w:val="24"/>
        </w:rPr>
        <w:t>09</w:t>
      </w:r>
      <w:r>
        <w:rPr>
          <w:rFonts w:ascii="Times New Roman" w:hAnsi="Times New Roman"/>
          <w:b/>
          <w:sz w:val="24"/>
          <w:szCs w:val="24"/>
        </w:rPr>
        <w:t>.</w:t>
      </w:r>
      <w:r w:rsidR="005E4021">
        <w:rPr>
          <w:rFonts w:ascii="Times New Roman" w:hAnsi="Times New Roman"/>
          <w:b/>
          <w:sz w:val="24"/>
          <w:szCs w:val="24"/>
        </w:rPr>
        <w:t>30</w:t>
      </w:r>
      <w:bookmarkStart w:id="0" w:name="_GoBack"/>
      <w:bookmarkEnd w:id="0"/>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proofErr w:type="gramStart"/>
      <w:r w:rsidRPr="0047569C">
        <w:rPr>
          <w:rFonts w:ascii="Times New Roman" w:hAnsi="Times New Roman"/>
          <w:i/>
          <w:sz w:val="24"/>
          <w:szCs w:val="24"/>
        </w:rPr>
        <w:t>anyaggazdálkodási</w:t>
      </w:r>
      <w:proofErr w:type="gramEnd"/>
      <w:r w:rsidRPr="0047569C">
        <w:rPr>
          <w:rFonts w:ascii="Times New Roman" w:hAnsi="Times New Roman"/>
          <w:i/>
          <w:sz w:val="24"/>
          <w:szCs w:val="24"/>
        </w:rPr>
        <w:t xml:space="preserve">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5D" w:rsidRDefault="00C02D5D" w:rsidP="000E5C08">
      <w:pPr>
        <w:spacing w:after="0" w:line="240" w:lineRule="auto"/>
      </w:pPr>
      <w:r>
        <w:separator/>
      </w:r>
    </w:p>
  </w:endnote>
  <w:endnote w:type="continuationSeparator" w:id="0">
    <w:p w:rsidR="00C02D5D" w:rsidRDefault="00C02D5D"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5D" w:rsidRDefault="00C02D5D" w:rsidP="000E5C08">
      <w:pPr>
        <w:spacing w:after="0" w:line="240" w:lineRule="auto"/>
      </w:pPr>
      <w:r>
        <w:separator/>
      </w:r>
    </w:p>
  </w:footnote>
  <w:footnote w:type="continuationSeparator" w:id="0">
    <w:p w:rsidR="00C02D5D" w:rsidRDefault="00C02D5D"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5E4021">
          <w:rPr>
            <w:noProof/>
          </w:rPr>
          <w:t>2</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C7DE9"/>
    <w:rsid w:val="000E5C08"/>
    <w:rsid w:val="000F258A"/>
    <w:rsid w:val="000F572A"/>
    <w:rsid w:val="00106F80"/>
    <w:rsid w:val="00132AFC"/>
    <w:rsid w:val="001A7701"/>
    <w:rsid w:val="001B21FD"/>
    <w:rsid w:val="00240EC4"/>
    <w:rsid w:val="00252B65"/>
    <w:rsid w:val="002B0A2C"/>
    <w:rsid w:val="002F6827"/>
    <w:rsid w:val="00407339"/>
    <w:rsid w:val="00490106"/>
    <w:rsid w:val="004B05FE"/>
    <w:rsid w:val="00513F48"/>
    <w:rsid w:val="005E4021"/>
    <w:rsid w:val="005F28F6"/>
    <w:rsid w:val="0060181B"/>
    <w:rsid w:val="00720E37"/>
    <w:rsid w:val="007342D2"/>
    <w:rsid w:val="007B7AB2"/>
    <w:rsid w:val="00833133"/>
    <w:rsid w:val="00934B6B"/>
    <w:rsid w:val="009B3BFD"/>
    <w:rsid w:val="009D1CC2"/>
    <w:rsid w:val="00A56B74"/>
    <w:rsid w:val="00AE19D8"/>
    <w:rsid w:val="00AE30EB"/>
    <w:rsid w:val="00B30FEB"/>
    <w:rsid w:val="00B3411B"/>
    <w:rsid w:val="00C02D5D"/>
    <w:rsid w:val="00C2551F"/>
    <w:rsid w:val="00D472E3"/>
    <w:rsid w:val="00E00F3B"/>
    <w:rsid w:val="00E03A3C"/>
    <w:rsid w:val="00E63BB0"/>
    <w:rsid w:val="00F910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1601</Words>
  <Characters>11053</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17</cp:revision>
  <cp:lastPrinted>2015-08-18T09:27:00Z</cp:lastPrinted>
  <dcterms:created xsi:type="dcterms:W3CDTF">2015-07-15T09:16:00Z</dcterms:created>
  <dcterms:modified xsi:type="dcterms:W3CDTF">2015-09-30T12:20:00Z</dcterms:modified>
</cp:coreProperties>
</file>