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CD2CCD" w14:textId="1DF5E26C" w:rsidR="007963ED" w:rsidRPr="006164F1" w:rsidRDefault="007963ED" w:rsidP="00263240">
      <w:pPr>
        <w:suppressAutoHyphens w:val="0"/>
        <w:overflowPunct/>
        <w:autoSpaceDE/>
        <w:textAlignment w:val="auto"/>
        <w:rPr>
          <w:sz w:val="22"/>
          <w:szCs w:val="22"/>
        </w:rPr>
      </w:pPr>
      <w:bookmarkStart w:id="0" w:name="_GoBack"/>
      <w:bookmarkEnd w:id="0"/>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4E5B5100" w:rsidR="007963ED"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p w14:paraId="203F4EDC" w14:textId="77777777" w:rsidR="00263240" w:rsidRPr="006164F1" w:rsidRDefault="00263240" w:rsidP="007963ED">
      <w:pPr>
        <w:suppressAutoHyphens w:val="0"/>
        <w:overflowPunct/>
        <w:autoSpaceDE/>
        <w:spacing w:after="120"/>
        <w:jc w:val="both"/>
        <w:textAlignment w:val="auto"/>
        <w:rPr>
          <w:sz w:val="22"/>
          <w:szCs w:val="22"/>
          <w:lang w:eastAsia="hu-H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75"/>
      </w:tblGrid>
      <w:tr w:rsidR="002550EE" w:rsidRPr="006164F1" w14:paraId="329A7811"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8075" w:type="dxa"/>
            <w:tcBorders>
              <w:top w:val="single" w:sz="4" w:space="0" w:color="auto"/>
              <w:left w:val="single" w:sz="4" w:space="0" w:color="auto"/>
              <w:bottom w:val="single" w:sz="4" w:space="0" w:color="auto"/>
              <w:right w:val="single" w:sz="4" w:space="0" w:color="auto"/>
            </w:tcBorders>
          </w:tcPr>
          <w:p w14:paraId="07F08E94" w14:textId="6BDD0FD7" w:rsidR="007963ED" w:rsidRPr="006164F1" w:rsidRDefault="007963ED" w:rsidP="00772DFF">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4BB720A"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8075"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63240" w:rsidRPr="006164F1" w14:paraId="40BBF1C7"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70A17D15" w14:textId="44BCDD1B" w:rsidR="00263240" w:rsidRPr="00263240" w:rsidRDefault="00263240" w:rsidP="00263240">
            <w:pPr>
              <w:keepNext/>
              <w:keepLines/>
              <w:ind w:right="-108"/>
              <w:jc w:val="both"/>
              <w:rPr>
                <w:sz w:val="22"/>
                <w:szCs w:val="22"/>
                <w:lang w:eastAsia="hu-HU"/>
              </w:rPr>
            </w:pPr>
            <w:r w:rsidRPr="00263240">
              <w:rPr>
                <w:sz w:val="22"/>
                <w:szCs w:val="22"/>
                <w:lang w:eastAsia="hu-HU"/>
              </w:rPr>
              <w:t>1.</w:t>
            </w:r>
            <w:r>
              <w:rPr>
                <w:lang w:eastAsia="hu-HU"/>
              </w:rPr>
              <w:t xml:space="preserve"> sz. melléklet</w:t>
            </w:r>
          </w:p>
        </w:tc>
        <w:tc>
          <w:tcPr>
            <w:tcW w:w="8075" w:type="dxa"/>
            <w:tcBorders>
              <w:top w:val="single" w:sz="4" w:space="0" w:color="auto"/>
              <w:left w:val="single" w:sz="4" w:space="0" w:color="auto"/>
              <w:bottom w:val="single" w:sz="4" w:space="0" w:color="auto"/>
              <w:right w:val="single" w:sz="4" w:space="0" w:color="auto"/>
            </w:tcBorders>
          </w:tcPr>
          <w:p w14:paraId="7E488FA7" w14:textId="6C0F1139" w:rsidR="00263240" w:rsidRPr="006164F1" w:rsidRDefault="00263240" w:rsidP="007963ED">
            <w:pPr>
              <w:keepNext/>
              <w:keepLines/>
              <w:suppressAutoHyphens w:val="0"/>
              <w:overflowPunct/>
              <w:autoSpaceDE/>
              <w:jc w:val="both"/>
              <w:textAlignment w:val="auto"/>
              <w:rPr>
                <w:sz w:val="22"/>
                <w:szCs w:val="22"/>
                <w:lang w:eastAsia="hu-HU"/>
              </w:rPr>
            </w:pPr>
            <w:r>
              <w:rPr>
                <w:sz w:val="22"/>
                <w:szCs w:val="22"/>
                <w:lang w:eastAsia="hu-HU"/>
              </w:rPr>
              <w:t>Műszaki Leírás</w:t>
            </w:r>
          </w:p>
        </w:tc>
      </w:tr>
      <w:tr w:rsidR="002550EE" w:rsidRPr="006164F1" w14:paraId="42E54F00"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8075"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8075" w:type="dxa"/>
            <w:tcBorders>
              <w:top w:val="single" w:sz="4" w:space="0" w:color="auto"/>
              <w:left w:val="single" w:sz="4" w:space="0" w:color="auto"/>
              <w:bottom w:val="single" w:sz="4" w:space="0" w:color="auto"/>
              <w:right w:val="single" w:sz="4" w:space="0" w:color="auto"/>
            </w:tcBorders>
          </w:tcPr>
          <w:p w14:paraId="1857F232" w14:textId="77777777" w:rsidR="007963ED" w:rsidRPr="00772DFF" w:rsidRDefault="005E590D" w:rsidP="00497392">
            <w:pPr>
              <w:keepNext/>
              <w:keepLines/>
              <w:suppressAutoHyphens w:val="0"/>
              <w:overflowPunct/>
              <w:autoSpaceDE/>
              <w:jc w:val="both"/>
              <w:textAlignment w:val="auto"/>
              <w:rPr>
                <w:sz w:val="22"/>
                <w:szCs w:val="22"/>
                <w:highlight w:val="yellow"/>
                <w:lang w:eastAsia="hu-HU"/>
              </w:rPr>
            </w:pPr>
            <w:r w:rsidRPr="00772DFF">
              <w:rPr>
                <w:sz w:val="22"/>
                <w:szCs w:val="22"/>
                <w:lang w:eastAsia="hu-HU"/>
              </w:rPr>
              <w:t xml:space="preserve">Nyilatkozat </w:t>
            </w:r>
            <w:r w:rsidR="00497392" w:rsidRPr="00772DFF">
              <w:rPr>
                <w:sz w:val="22"/>
                <w:szCs w:val="22"/>
                <w:lang w:eastAsia="hu-HU"/>
              </w:rPr>
              <w:t>a</w:t>
            </w:r>
            <w:r w:rsidRPr="00772DFF">
              <w:rPr>
                <w:sz w:val="22"/>
                <w:szCs w:val="22"/>
                <w:lang w:eastAsia="hu-HU"/>
              </w:rPr>
              <w:t xml:space="preserve"> kizáró okokról</w:t>
            </w:r>
          </w:p>
        </w:tc>
      </w:tr>
      <w:tr w:rsidR="002550EE" w:rsidRPr="006164F1" w14:paraId="4331D0F0"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0B38A014"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8075" w:type="dxa"/>
            <w:tcBorders>
              <w:top w:val="single" w:sz="4" w:space="0" w:color="auto"/>
              <w:left w:val="single" w:sz="4" w:space="0" w:color="auto"/>
              <w:bottom w:val="single" w:sz="4" w:space="0" w:color="auto"/>
              <w:right w:val="single" w:sz="4" w:space="0" w:color="auto"/>
            </w:tcBorders>
          </w:tcPr>
          <w:p w14:paraId="1661DB96" w14:textId="77777777" w:rsidR="007E737C" w:rsidRPr="00772DFF" w:rsidRDefault="007E737C" w:rsidP="00C524AA">
            <w:pPr>
              <w:keepNext/>
              <w:keepLines/>
              <w:suppressAutoHyphens w:val="0"/>
              <w:overflowPunct/>
              <w:autoSpaceDE/>
              <w:ind w:right="150"/>
              <w:jc w:val="both"/>
              <w:textAlignment w:val="auto"/>
              <w:rPr>
                <w:iCs/>
                <w:sz w:val="22"/>
                <w:szCs w:val="22"/>
                <w:highlight w:val="yellow"/>
                <w:lang w:eastAsia="hu-HU"/>
              </w:rPr>
            </w:pPr>
            <w:r w:rsidRPr="00683D3F">
              <w:rPr>
                <w:iCs/>
                <w:sz w:val="22"/>
                <w:szCs w:val="22"/>
                <w:lang w:eastAsia="hu-HU"/>
              </w:rPr>
              <w:t>Nyilatkozat összeférhetetlenségről</w:t>
            </w:r>
          </w:p>
        </w:tc>
      </w:tr>
      <w:tr w:rsidR="00D65CBC" w:rsidRPr="006164F1" w14:paraId="19F748C2"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55FDF114" w14:textId="60ABD883" w:rsidR="00D65CBC" w:rsidRPr="006164F1" w:rsidRDefault="00DF216E" w:rsidP="00D54FCE">
            <w:pPr>
              <w:keepNext/>
              <w:keepLines/>
              <w:suppressAutoHyphens w:val="0"/>
              <w:overflowPunct/>
              <w:autoSpaceDE/>
              <w:ind w:right="-108"/>
              <w:jc w:val="both"/>
              <w:textAlignment w:val="auto"/>
              <w:rPr>
                <w:sz w:val="22"/>
                <w:szCs w:val="22"/>
                <w:lang w:eastAsia="hu-HU"/>
              </w:rPr>
            </w:pPr>
            <w:r>
              <w:rPr>
                <w:sz w:val="22"/>
                <w:szCs w:val="22"/>
                <w:lang w:eastAsia="hu-HU"/>
              </w:rPr>
              <w:t>5</w:t>
            </w:r>
            <w:r w:rsidR="00D65CBC" w:rsidRPr="006164F1">
              <w:rPr>
                <w:sz w:val="22"/>
                <w:szCs w:val="22"/>
                <w:lang w:eastAsia="hu-HU"/>
              </w:rPr>
              <w:t>. sz. melléklet</w:t>
            </w:r>
          </w:p>
        </w:tc>
        <w:tc>
          <w:tcPr>
            <w:tcW w:w="8075" w:type="dxa"/>
            <w:tcBorders>
              <w:top w:val="single" w:sz="4" w:space="0" w:color="auto"/>
              <w:left w:val="single" w:sz="4" w:space="0" w:color="auto"/>
              <w:bottom w:val="single" w:sz="4" w:space="0" w:color="auto"/>
              <w:right w:val="single" w:sz="4" w:space="0" w:color="auto"/>
            </w:tcBorders>
          </w:tcPr>
          <w:p w14:paraId="0A1670EF" w14:textId="142A4FE4" w:rsidR="00D65CBC" w:rsidRPr="00772DFF" w:rsidDel="001E4C09" w:rsidRDefault="00D65CBC" w:rsidP="00DF216E">
            <w:pPr>
              <w:keepNext/>
              <w:keepLines/>
              <w:suppressAutoHyphens w:val="0"/>
              <w:overflowPunct/>
              <w:autoSpaceDE/>
              <w:ind w:right="150"/>
              <w:jc w:val="both"/>
              <w:textAlignment w:val="auto"/>
              <w:rPr>
                <w:sz w:val="22"/>
                <w:szCs w:val="22"/>
                <w:highlight w:val="yellow"/>
                <w:lang w:eastAsia="hu-HU"/>
              </w:rPr>
            </w:pPr>
            <w:r w:rsidRPr="00DF216E">
              <w:rPr>
                <w:sz w:val="22"/>
                <w:szCs w:val="22"/>
                <w:lang w:eastAsia="hu-HU"/>
              </w:rPr>
              <w:t>Refere</w:t>
            </w:r>
            <w:r w:rsidR="00EA1D8B" w:rsidRPr="00DF216E">
              <w:rPr>
                <w:sz w:val="22"/>
                <w:szCs w:val="22"/>
                <w:lang w:eastAsia="hu-HU"/>
              </w:rPr>
              <w:t>n</w:t>
            </w:r>
            <w:r w:rsidRPr="00DF216E">
              <w:rPr>
                <w:sz w:val="22"/>
                <w:szCs w:val="22"/>
                <w:lang w:eastAsia="hu-HU"/>
              </w:rPr>
              <w:t>cia</w:t>
            </w:r>
            <w:r w:rsidR="00EA1D8B" w:rsidRPr="00DF216E">
              <w:rPr>
                <w:sz w:val="22"/>
                <w:szCs w:val="22"/>
                <w:lang w:eastAsia="hu-HU"/>
              </w:rPr>
              <w:t xml:space="preserve"> </w:t>
            </w:r>
            <w:r w:rsidRPr="00DF216E">
              <w:rPr>
                <w:sz w:val="22"/>
                <w:szCs w:val="22"/>
                <w:lang w:eastAsia="hu-HU"/>
              </w:rPr>
              <w:t>nyilatkozat</w:t>
            </w:r>
            <w:r w:rsidR="009E213F" w:rsidRPr="00DF216E">
              <w:rPr>
                <w:sz w:val="22"/>
                <w:szCs w:val="22"/>
                <w:lang w:eastAsia="hu-HU"/>
              </w:rPr>
              <w:t xml:space="preserve"> </w:t>
            </w:r>
          </w:p>
        </w:tc>
      </w:tr>
      <w:tr w:rsidR="002550EE" w:rsidRPr="006164F1" w14:paraId="34B5F076"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3EAEFC57" w14:textId="36AA01CF" w:rsidR="007963ED" w:rsidRPr="00DF216E" w:rsidRDefault="00DF216E" w:rsidP="006556ED">
            <w:pPr>
              <w:keepNext/>
              <w:keepLines/>
              <w:suppressAutoHyphens w:val="0"/>
              <w:overflowPunct/>
              <w:autoSpaceDE/>
              <w:ind w:right="-108"/>
              <w:jc w:val="both"/>
              <w:textAlignment w:val="auto"/>
              <w:rPr>
                <w:sz w:val="22"/>
                <w:szCs w:val="22"/>
                <w:lang w:eastAsia="hu-HU"/>
              </w:rPr>
            </w:pPr>
            <w:r w:rsidRPr="00DF216E">
              <w:rPr>
                <w:sz w:val="22"/>
                <w:szCs w:val="22"/>
                <w:lang w:eastAsia="hu-HU"/>
              </w:rPr>
              <w:t>6</w:t>
            </w:r>
            <w:r w:rsidR="004F193D" w:rsidRPr="00DF216E">
              <w:rPr>
                <w:sz w:val="22"/>
                <w:szCs w:val="22"/>
                <w:lang w:eastAsia="hu-HU"/>
              </w:rPr>
              <w:t>. sz</w:t>
            </w:r>
            <w:r w:rsidR="007963ED" w:rsidRPr="00DF216E">
              <w:rPr>
                <w:sz w:val="22"/>
                <w:szCs w:val="22"/>
                <w:lang w:eastAsia="hu-HU"/>
              </w:rPr>
              <w:t>. melléklet</w:t>
            </w:r>
          </w:p>
        </w:tc>
        <w:tc>
          <w:tcPr>
            <w:tcW w:w="8075" w:type="dxa"/>
            <w:tcBorders>
              <w:top w:val="single" w:sz="4" w:space="0" w:color="auto"/>
              <w:left w:val="single" w:sz="4" w:space="0" w:color="auto"/>
              <w:bottom w:val="single" w:sz="4" w:space="0" w:color="auto"/>
              <w:right w:val="single" w:sz="4" w:space="0" w:color="auto"/>
            </w:tcBorders>
          </w:tcPr>
          <w:p w14:paraId="5A13627B" w14:textId="77777777" w:rsidR="007963ED" w:rsidRPr="00DF216E" w:rsidRDefault="007963ED" w:rsidP="007963ED">
            <w:pPr>
              <w:keepNext/>
              <w:keepLines/>
              <w:suppressAutoHyphens w:val="0"/>
              <w:overflowPunct/>
              <w:autoSpaceDE/>
              <w:ind w:right="150"/>
              <w:jc w:val="both"/>
              <w:textAlignment w:val="auto"/>
              <w:rPr>
                <w:i/>
                <w:sz w:val="22"/>
                <w:szCs w:val="22"/>
                <w:lang w:eastAsia="hu-HU"/>
              </w:rPr>
            </w:pPr>
            <w:r w:rsidRPr="00DF216E">
              <w:rPr>
                <w:iCs/>
                <w:sz w:val="22"/>
                <w:szCs w:val="22"/>
                <w:lang w:eastAsia="hu-HU"/>
              </w:rPr>
              <w:t xml:space="preserve">Ajánlattevői nyilatkozat a szerződés kitöltéséhez </w:t>
            </w:r>
          </w:p>
        </w:tc>
      </w:tr>
      <w:tr w:rsidR="002550EE" w:rsidRPr="006164F1" w14:paraId="58979DEE"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42D6A84C" w14:textId="6B42297C" w:rsidR="007963ED" w:rsidRPr="006164F1" w:rsidRDefault="00DF216E" w:rsidP="00221F3F">
            <w:pPr>
              <w:keepNext/>
              <w:keepLines/>
              <w:suppressAutoHyphens w:val="0"/>
              <w:overflowPunct/>
              <w:autoSpaceDE/>
              <w:ind w:right="-108"/>
              <w:jc w:val="both"/>
              <w:textAlignment w:val="auto"/>
              <w:rPr>
                <w:sz w:val="22"/>
                <w:szCs w:val="22"/>
                <w:lang w:eastAsia="hu-HU"/>
              </w:rPr>
            </w:pPr>
            <w:r>
              <w:rPr>
                <w:sz w:val="22"/>
                <w:szCs w:val="22"/>
                <w:lang w:eastAsia="hu-HU"/>
              </w:rPr>
              <w:t>7</w:t>
            </w:r>
            <w:r w:rsidR="004F193D" w:rsidRPr="006164F1">
              <w:rPr>
                <w:sz w:val="22"/>
                <w:szCs w:val="22"/>
                <w:lang w:eastAsia="hu-HU"/>
              </w:rPr>
              <w:t>.</w:t>
            </w:r>
            <w:r w:rsidR="007963ED" w:rsidRPr="006164F1">
              <w:rPr>
                <w:sz w:val="22"/>
                <w:szCs w:val="22"/>
                <w:lang w:eastAsia="hu-HU"/>
              </w:rPr>
              <w:t xml:space="preserve"> sz. melléklet</w:t>
            </w:r>
          </w:p>
        </w:tc>
        <w:tc>
          <w:tcPr>
            <w:tcW w:w="8075" w:type="dxa"/>
            <w:tcBorders>
              <w:top w:val="single" w:sz="4" w:space="0" w:color="auto"/>
              <w:left w:val="single" w:sz="4" w:space="0" w:color="auto"/>
              <w:bottom w:val="single" w:sz="4" w:space="0" w:color="auto"/>
              <w:right w:val="single" w:sz="4" w:space="0" w:color="auto"/>
            </w:tcBorders>
          </w:tcPr>
          <w:p w14:paraId="400345C0" w14:textId="77777777" w:rsidR="007963ED" w:rsidRPr="00772DFF" w:rsidRDefault="007963ED" w:rsidP="007963ED">
            <w:pPr>
              <w:keepNext/>
              <w:keepLines/>
              <w:suppressAutoHyphens w:val="0"/>
              <w:overflowPunct/>
              <w:autoSpaceDE/>
              <w:ind w:right="150"/>
              <w:jc w:val="both"/>
              <w:textAlignment w:val="auto"/>
              <w:rPr>
                <w:iCs/>
                <w:sz w:val="22"/>
                <w:szCs w:val="22"/>
                <w:highlight w:val="yellow"/>
                <w:lang w:eastAsia="hu-HU"/>
              </w:rPr>
            </w:pPr>
            <w:r w:rsidRPr="00DF216E">
              <w:rPr>
                <w:iCs/>
                <w:sz w:val="22"/>
                <w:szCs w:val="22"/>
                <w:lang w:eastAsia="hu-HU"/>
              </w:rPr>
              <w:t>Nyilatkozat alvállalkozókról</w:t>
            </w:r>
          </w:p>
        </w:tc>
      </w:tr>
      <w:tr w:rsidR="00852B3A" w:rsidRPr="006164F1" w14:paraId="70C56474"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23C414AB" w14:textId="426CB477" w:rsidR="00852B3A" w:rsidRPr="006164F1" w:rsidRDefault="00023C92" w:rsidP="00221F3F">
            <w:pPr>
              <w:keepNext/>
              <w:keepLines/>
              <w:suppressAutoHyphens w:val="0"/>
              <w:overflowPunct/>
              <w:autoSpaceDE/>
              <w:ind w:right="-108"/>
              <w:jc w:val="both"/>
              <w:textAlignment w:val="auto"/>
              <w:rPr>
                <w:sz w:val="22"/>
                <w:szCs w:val="22"/>
                <w:lang w:eastAsia="hu-HU"/>
              </w:rPr>
            </w:pPr>
            <w:r>
              <w:rPr>
                <w:sz w:val="22"/>
                <w:szCs w:val="22"/>
                <w:lang w:eastAsia="hu-HU"/>
              </w:rPr>
              <w:t>8</w:t>
            </w:r>
            <w:r w:rsidR="00852B3A">
              <w:rPr>
                <w:sz w:val="22"/>
                <w:szCs w:val="22"/>
                <w:lang w:eastAsia="hu-HU"/>
              </w:rPr>
              <w:t>. sz. melléklet</w:t>
            </w:r>
          </w:p>
        </w:tc>
        <w:tc>
          <w:tcPr>
            <w:tcW w:w="8075" w:type="dxa"/>
            <w:tcBorders>
              <w:top w:val="single" w:sz="4" w:space="0" w:color="auto"/>
              <w:left w:val="single" w:sz="4" w:space="0" w:color="auto"/>
              <w:bottom w:val="single" w:sz="4" w:space="0" w:color="auto"/>
              <w:right w:val="single" w:sz="4" w:space="0" w:color="auto"/>
            </w:tcBorders>
          </w:tcPr>
          <w:p w14:paraId="3459B6C5" w14:textId="1F4405AD" w:rsidR="00852B3A" w:rsidRPr="00772DFF" w:rsidRDefault="00852B3A" w:rsidP="007963ED">
            <w:pPr>
              <w:keepNext/>
              <w:keepLines/>
              <w:suppressAutoHyphens w:val="0"/>
              <w:overflowPunct/>
              <w:autoSpaceDE/>
              <w:ind w:right="150"/>
              <w:jc w:val="both"/>
              <w:textAlignment w:val="auto"/>
              <w:rPr>
                <w:iCs/>
                <w:sz w:val="22"/>
                <w:szCs w:val="22"/>
                <w:highlight w:val="yellow"/>
                <w:lang w:eastAsia="hu-HU"/>
              </w:rPr>
            </w:pPr>
            <w:r w:rsidRPr="00023C92">
              <w:rPr>
                <w:iCs/>
                <w:sz w:val="22"/>
                <w:szCs w:val="22"/>
                <w:lang w:eastAsia="hu-HU"/>
              </w:rPr>
              <w:t xml:space="preserve">Nyilatkozat közös ajánlattételről </w:t>
            </w:r>
            <w:r w:rsidRPr="00023C92">
              <w:rPr>
                <w:i/>
                <w:iCs/>
                <w:sz w:val="22"/>
                <w:szCs w:val="22"/>
                <w:lang w:eastAsia="hu-HU"/>
              </w:rPr>
              <w:t>(adott esetben)</w:t>
            </w:r>
          </w:p>
        </w:tc>
      </w:tr>
      <w:tr w:rsidR="00852B3A" w:rsidRPr="006164F1" w14:paraId="7F36E3DD"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35F96845" w14:textId="3C934D39" w:rsidR="00852B3A" w:rsidRDefault="00783C20" w:rsidP="00221F3F">
            <w:pPr>
              <w:keepNext/>
              <w:keepLines/>
              <w:suppressAutoHyphens w:val="0"/>
              <w:overflowPunct/>
              <w:autoSpaceDE/>
              <w:ind w:right="-108"/>
              <w:jc w:val="both"/>
              <w:textAlignment w:val="auto"/>
              <w:rPr>
                <w:sz w:val="22"/>
                <w:szCs w:val="22"/>
                <w:lang w:eastAsia="hu-HU"/>
              </w:rPr>
            </w:pPr>
            <w:r>
              <w:rPr>
                <w:sz w:val="22"/>
                <w:szCs w:val="22"/>
                <w:lang w:eastAsia="hu-HU"/>
              </w:rPr>
              <w:t>9</w:t>
            </w:r>
            <w:r w:rsidR="00852B3A">
              <w:rPr>
                <w:sz w:val="22"/>
                <w:szCs w:val="22"/>
                <w:lang w:eastAsia="hu-HU"/>
              </w:rPr>
              <w:t>. sz. melléklet</w:t>
            </w:r>
          </w:p>
        </w:tc>
        <w:tc>
          <w:tcPr>
            <w:tcW w:w="8075" w:type="dxa"/>
            <w:tcBorders>
              <w:top w:val="single" w:sz="4" w:space="0" w:color="auto"/>
              <w:left w:val="single" w:sz="4" w:space="0" w:color="auto"/>
              <w:bottom w:val="single" w:sz="4" w:space="0" w:color="auto"/>
              <w:right w:val="single" w:sz="4" w:space="0" w:color="auto"/>
            </w:tcBorders>
          </w:tcPr>
          <w:p w14:paraId="3C21FEC0" w14:textId="18FA9A5D" w:rsidR="00852B3A" w:rsidRPr="00772DFF" w:rsidRDefault="00852B3A" w:rsidP="007963ED">
            <w:pPr>
              <w:keepNext/>
              <w:keepLines/>
              <w:suppressAutoHyphens w:val="0"/>
              <w:overflowPunct/>
              <w:autoSpaceDE/>
              <w:ind w:right="150"/>
              <w:jc w:val="both"/>
              <w:textAlignment w:val="auto"/>
              <w:rPr>
                <w:iCs/>
                <w:sz w:val="22"/>
                <w:szCs w:val="22"/>
                <w:highlight w:val="yellow"/>
                <w:lang w:eastAsia="hu-HU"/>
              </w:rPr>
            </w:pPr>
            <w:r w:rsidRPr="00783C20">
              <w:rPr>
                <w:iCs/>
                <w:sz w:val="22"/>
                <w:szCs w:val="22"/>
                <w:lang w:eastAsia="hu-HU"/>
              </w:rPr>
              <w:t xml:space="preserve">Együttműködési megállapodás minta </w:t>
            </w:r>
            <w:r w:rsidRPr="00783C20">
              <w:rPr>
                <w:i/>
                <w:iCs/>
                <w:sz w:val="22"/>
                <w:szCs w:val="22"/>
                <w:lang w:eastAsia="hu-HU"/>
              </w:rPr>
              <w:t>(adott esetben)</w:t>
            </w:r>
          </w:p>
        </w:tc>
      </w:tr>
      <w:tr w:rsidR="007F5FCD" w:rsidRPr="006164F1" w14:paraId="5708561C"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334DF2A1" w14:textId="687585D8" w:rsidR="007F5FCD" w:rsidRDefault="00783C20" w:rsidP="00221F3F">
            <w:pPr>
              <w:keepNext/>
              <w:keepLines/>
              <w:suppressAutoHyphens w:val="0"/>
              <w:overflowPunct/>
              <w:autoSpaceDE/>
              <w:ind w:right="-108"/>
              <w:jc w:val="both"/>
              <w:textAlignment w:val="auto"/>
              <w:rPr>
                <w:sz w:val="22"/>
                <w:szCs w:val="22"/>
                <w:lang w:eastAsia="hu-HU"/>
              </w:rPr>
            </w:pPr>
            <w:r>
              <w:rPr>
                <w:sz w:val="22"/>
                <w:szCs w:val="22"/>
                <w:lang w:eastAsia="hu-HU"/>
              </w:rPr>
              <w:t>10</w:t>
            </w:r>
            <w:r w:rsidR="007F5FCD">
              <w:rPr>
                <w:sz w:val="22"/>
                <w:szCs w:val="22"/>
                <w:lang w:eastAsia="hu-HU"/>
              </w:rPr>
              <w:t>. sz. melléklet</w:t>
            </w:r>
          </w:p>
        </w:tc>
        <w:tc>
          <w:tcPr>
            <w:tcW w:w="8075" w:type="dxa"/>
            <w:tcBorders>
              <w:top w:val="single" w:sz="4" w:space="0" w:color="auto"/>
              <w:left w:val="single" w:sz="4" w:space="0" w:color="auto"/>
              <w:bottom w:val="single" w:sz="4" w:space="0" w:color="auto"/>
              <w:right w:val="single" w:sz="4" w:space="0" w:color="auto"/>
            </w:tcBorders>
          </w:tcPr>
          <w:p w14:paraId="5061E7D9" w14:textId="56D8D988" w:rsidR="007F5FCD" w:rsidRPr="00772DFF" w:rsidRDefault="007F5FCD" w:rsidP="007963ED">
            <w:pPr>
              <w:keepNext/>
              <w:keepLines/>
              <w:suppressAutoHyphens w:val="0"/>
              <w:overflowPunct/>
              <w:autoSpaceDE/>
              <w:ind w:right="150"/>
              <w:jc w:val="both"/>
              <w:textAlignment w:val="auto"/>
              <w:rPr>
                <w:iCs/>
                <w:sz w:val="22"/>
                <w:szCs w:val="22"/>
                <w:highlight w:val="yellow"/>
                <w:lang w:eastAsia="hu-HU"/>
              </w:rPr>
            </w:pPr>
            <w:r w:rsidRPr="00783C20">
              <w:rPr>
                <w:iCs/>
                <w:sz w:val="22"/>
                <w:szCs w:val="22"/>
                <w:lang w:eastAsia="hu-HU"/>
              </w:rPr>
              <w:t>Nyilatkozat egyéni vállalkozó/Alapítvány esetén</w:t>
            </w:r>
            <w:r w:rsidR="003148C0" w:rsidRPr="00783C20">
              <w:rPr>
                <w:iCs/>
                <w:sz w:val="22"/>
                <w:szCs w:val="22"/>
                <w:lang w:eastAsia="hu-HU"/>
              </w:rPr>
              <w:t xml:space="preserve"> </w:t>
            </w:r>
            <w:r w:rsidR="003148C0" w:rsidRPr="00783C20">
              <w:rPr>
                <w:i/>
                <w:iCs/>
                <w:sz w:val="22"/>
                <w:szCs w:val="22"/>
                <w:lang w:eastAsia="hu-HU"/>
              </w:rPr>
              <w:t>(adott esetben)</w:t>
            </w:r>
          </w:p>
        </w:tc>
      </w:tr>
      <w:tr w:rsidR="009B5181" w:rsidRPr="006164F1" w14:paraId="721E20EA"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60433A5E" w14:textId="1A7C453C" w:rsidR="009B5181" w:rsidRDefault="00783C20" w:rsidP="00221F3F">
            <w:pPr>
              <w:keepNext/>
              <w:keepLines/>
              <w:suppressAutoHyphens w:val="0"/>
              <w:overflowPunct/>
              <w:autoSpaceDE/>
              <w:ind w:right="-108"/>
              <w:jc w:val="both"/>
              <w:textAlignment w:val="auto"/>
              <w:rPr>
                <w:sz w:val="22"/>
                <w:szCs w:val="22"/>
                <w:lang w:eastAsia="hu-HU"/>
              </w:rPr>
            </w:pPr>
            <w:r>
              <w:rPr>
                <w:sz w:val="22"/>
                <w:szCs w:val="22"/>
                <w:lang w:eastAsia="hu-HU"/>
              </w:rPr>
              <w:t>11</w:t>
            </w:r>
            <w:r w:rsidR="009B5181">
              <w:rPr>
                <w:sz w:val="22"/>
                <w:szCs w:val="22"/>
                <w:lang w:eastAsia="hu-HU"/>
              </w:rPr>
              <w:t>. sz. melléklet</w:t>
            </w:r>
          </w:p>
        </w:tc>
        <w:tc>
          <w:tcPr>
            <w:tcW w:w="8075" w:type="dxa"/>
            <w:tcBorders>
              <w:top w:val="single" w:sz="4" w:space="0" w:color="auto"/>
              <w:left w:val="single" w:sz="4" w:space="0" w:color="auto"/>
              <w:bottom w:val="single" w:sz="4" w:space="0" w:color="auto"/>
              <w:right w:val="single" w:sz="4" w:space="0" w:color="auto"/>
            </w:tcBorders>
          </w:tcPr>
          <w:p w14:paraId="0E230FB4" w14:textId="6BE67021" w:rsidR="009B5181" w:rsidRPr="00783C20" w:rsidRDefault="009B5181" w:rsidP="007963ED">
            <w:pPr>
              <w:keepNext/>
              <w:keepLines/>
              <w:suppressAutoHyphens w:val="0"/>
              <w:overflowPunct/>
              <w:autoSpaceDE/>
              <w:ind w:right="150"/>
              <w:jc w:val="both"/>
              <w:textAlignment w:val="auto"/>
              <w:rPr>
                <w:iCs/>
                <w:sz w:val="22"/>
                <w:szCs w:val="22"/>
                <w:lang w:eastAsia="hu-HU"/>
              </w:rPr>
            </w:pPr>
            <w:r w:rsidRPr="00783C20">
              <w:rPr>
                <w:iCs/>
                <w:sz w:val="22"/>
                <w:szCs w:val="22"/>
                <w:lang w:eastAsia="hu-HU"/>
              </w:rPr>
              <w:t xml:space="preserve">Nyilatkozat számlázással kapcsolatban </w:t>
            </w:r>
            <w:r w:rsidRPr="00783C20">
              <w:rPr>
                <w:i/>
                <w:iCs/>
                <w:sz w:val="22"/>
                <w:szCs w:val="22"/>
                <w:lang w:eastAsia="hu-HU"/>
              </w:rPr>
              <w:t>(kötelezően benyújtandó)</w:t>
            </w:r>
          </w:p>
        </w:tc>
      </w:tr>
      <w:tr w:rsidR="00783C20" w:rsidRPr="006164F1" w14:paraId="4F29B614"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55034351" w14:textId="3C1D45AB" w:rsidR="00783C20" w:rsidRDefault="00783C20" w:rsidP="00221F3F">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8075" w:type="dxa"/>
            <w:tcBorders>
              <w:top w:val="single" w:sz="4" w:space="0" w:color="auto"/>
              <w:left w:val="single" w:sz="4" w:space="0" w:color="auto"/>
              <w:bottom w:val="single" w:sz="4" w:space="0" w:color="auto"/>
              <w:right w:val="single" w:sz="4" w:space="0" w:color="auto"/>
            </w:tcBorders>
          </w:tcPr>
          <w:p w14:paraId="793A5DB4" w14:textId="2E381B66" w:rsidR="00783C20" w:rsidRPr="00783C20" w:rsidRDefault="00783C20"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Tájékoztató az elektronikus számlázással kapcsolatban </w:t>
            </w:r>
          </w:p>
        </w:tc>
      </w:tr>
      <w:tr w:rsidR="002550EE" w:rsidRPr="006164F1" w14:paraId="1026C019"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4B92A2BB" w14:textId="77777777"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8075" w:type="dxa"/>
            <w:tcBorders>
              <w:top w:val="single" w:sz="4" w:space="0" w:color="auto"/>
              <w:left w:val="single" w:sz="4" w:space="0" w:color="auto"/>
              <w:bottom w:val="single" w:sz="4" w:space="0" w:color="auto"/>
              <w:right w:val="single" w:sz="4" w:space="0" w:color="auto"/>
            </w:tcBorders>
          </w:tcPr>
          <w:p w14:paraId="5379AFA8" w14:textId="77777777" w:rsidR="004F193D" w:rsidRPr="00783C20" w:rsidRDefault="004F193D" w:rsidP="004F193D">
            <w:pPr>
              <w:widowControl w:val="0"/>
              <w:suppressAutoHyphens w:val="0"/>
              <w:overflowPunct/>
              <w:autoSpaceDN w:val="0"/>
              <w:adjustRightInd w:val="0"/>
              <w:jc w:val="both"/>
              <w:textAlignment w:val="auto"/>
              <w:rPr>
                <w:sz w:val="22"/>
                <w:szCs w:val="22"/>
                <w:lang w:eastAsia="hu-HU"/>
              </w:rPr>
            </w:pPr>
            <w:r w:rsidRPr="00783C20">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15426498" w:rsidR="004F193D" w:rsidRPr="00783C20" w:rsidRDefault="004F193D" w:rsidP="006E2D73">
            <w:pPr>
              <w:keepNext/>
              <w:keepLines/>
              <w:suppressAutoHyphens w:val="0"/>
              <w:overflowPunct/>
              <w:autoSpaceDE/>
              <w:ind w:right="150"/>
              <w:jc w:val="both"/>
              <w:textAlignment w:val="auto"/>
              <w:rPr>
                <w:sz w:val="22"/>
                <w:szCs w:val="22"/>
                <w:lang w:eastAsia="hu-HU"/>
              </w:rPr>
            </w:pPr>
          </w:p>
        </w:tc>
      </w:tr>
      <w:tr w:rsidR="002550EE" w:rsidRPr="006164F1" w14:paraId="42ADE4B9" w14:textId="77777777" w:rsidTr="00263240">
        <w:trPr>
          <w:tblHeader/>
          <w:jc w:val="center"/>
        </w:trPr>
        <w:tc>
          <w:tcPr>
            <w:tcW w:w="1843" w:type="dxa"/>
            <w:tcBorders>
              <w:top w:val="single" w:sz="4" w:space="0" w:color="auto"/>
              <w:left w:val="single" w:sz="4" w:space="0" w:color="auto"/>
              <w:bottom w:val="single" w:sz="4" w:space="0" w:color="auto"/>
              <w:right w:val="single" w:sz="4" w:space="0" w:color="auto"/>
            </w:tcBorders>
          </w:tcPr>
          <w:p w14:paraId="39A4413F" w14:textId="77777777"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8075" w:type="dxa"/>
            <w:tcBorders>
              <w:top w:val="single" w:sz="4" w:space="0" w:color="auto"/>
              <w:left w:val="single" w:sz="4" w:space="0" w:color="auto"/>
              <w:bottom w:val="single" w:sz="4" w:space="0" w:color="auto"/>
              <w:right w:val="single" w:sz="4" w:space="0" w:color="auto"/>
            </w:tcBorders>
          </w:tcPr>
          <w:p w14:paraId="6D67D045" w14:textId="77777777" w:rsidR="004F193D" w:rsidRPr="006164F1" w:rsidRDefault="004F193D" w:rsidP="004F193D">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11E42D76" w14:textId="77777777" w:rsidR="00263240" w:rsidRDefault="00263240" w:rsidP="007E737C">
      <w:pPr>
        <w:keepNext/>
        <w:keepLines/>
        <w:suppressAutoHyphens w:val="0"/>
        <w:overflowPunct/>
        <w:autoSpaceDE/>
        <w:jc w:val="right"/>
        <w:textAlignment w:val="auto"/>
        <w:rPr>
          <w:sz w:val="22"/>
          <w:szCs w:val="22"/>
        </w:rPr>
      </w:pPr>
    </w:p>
    <w:p w14:paraId="0BC25423" w14:textId="77777777" w:rsidR="00263240" w:rsidRDefault="00263240">
      <w:pPr>
        <w:suppressAutoHyphens w:val="0"/>
        <w:overflowPunct/>
        <w:autoSpaceDE/>
        <w:textAlignment w:val="auto"/>
        <w:rPr>
          <w:sz w:val="22"/>
          <w:szCs w:val="22"/>
        </w:rPr>
      </w:pPr>
      <w:r>
        <w:rPr>
          <w:sz w:val="22"/>
          <w:szCs w:val="22"/>
        </w:rPr>
        <w:br w:type="page"/>
      </w:r>
    </w:p>
    <w:p w14:paraId="36E8E66E" w14:textId="77777777" w:rsidR="00263240" w:rsidRPr="006164F1" w:rsidRDefault="00263240" w:rsidP="00263240">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lastRenderedPageBreak/>
        <w:t>sz. melléklet</w:t>
      </w:r>
    </w:p>
    <w:p w14:paraId="1FDCE53A" w14:textId="77777777" w:rsidR="00263240" w:rsidRDefault="00263240" w:rsidP="00263240">
      <w:pPr>
        <w:pStyle w:val="Listaszerbekezds"/>
        <w:tabs>
          <w:tab w:val="left" w:pos="284"/>
        </w:tabs>
        <w:spacing w:after="0" w:line="240" w:lineRule="auto"/>
        <w:jc w:val="center"/>
        <w:rPr>
          <w:rFonts w:ascii="Times New Roman" w:eastAsia="Times New Roman" w:hAnsi="Times New Roman"/>
          <w:b/>
          <w:lang w:eastAsia="hu-HU"/>
        </w:rPr>
      </w:pPr>
    </w:p>
    <w:p w14:paraId="78529EAF" w14:textId="590A4406" w:rsidR="00263240" w:rsidRPr="006164F1" w:rsidRDefault="00263240" w:rsidP="00263240">
      <w:pPr>
        <w:pStyle w:val="Listaszerbekezds"/>
        <w:tabs>
          <w:tab w:val="left" w:pos="284"/>
        </w:tabs>
        <w:spacing w:after="0" w:line="240" w:lineRule="auto"/>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sidR="00772DFF">
        <w:rPr>
          <w:rFonts w:ascii="Times New Roman" w:eastAsia="Times New Roman" w:hAnsi="Times New Roman"/>
          <w:b/>
          <w:lang w:eastAsia="hu-HU"/>
        </w:rPr>
        <w:t>LEÍRÁS</w:t>
      </w:r>
    </w:p>
    <w:p w14:paraId="149E9DC2" w14:textId="77777777" w:rsidR="00263240" w:rsidRPr="008D00FD" w:rsidRDefault="00263240" w:rsidP="00263240">
      <w:pPr>
        <w:suppressAutoHyphens w:val="0"/>
        <w:overflowPunct/>
        <w:autoSpaceDN w:val="0"/>
        <w:adjustRightInd w:val="0"/>
        <w:textAlignment w:val="auto"/>
        <w:rPr>
          <w:color w:val="000000"/>
          <w:szCs w:val="24"/>
          <w:lang w:eastAsia="hu-HU"/>
        </w:rPr>
      </w:pPr>
    </w:p>
    <w:p w14:paraId="2416CA75" w14:textId="77777777" w:rsidR="00263240" w:rsidRDefault="00263240" w:rsidP="00B33DAC">
      <w:pPr>
        <w:suppressAutoHyphens w:val="0"/>
        <w:overflowPunct/>
        <w:autoSpaceDN w:val="0"/>
        <w:adjustRightInd w:val="0"/>
        <w:jc w:val="both"/>
        <w:textAlignment w:val="auto"/>
        <w:rPr>
          <w:color w:val="000000"/>
          <w:sz w:val="23"/>
          <w:szCs w:val="23"/>
          <w:lang w:eastAsia="hu-HU"/>
        </w:rPr>
      </w:pPr>
      <w:r w:rsidRPr="008D00FD">
        <w:rPr>
          <w:color w:val="000000"/>
          <w:szCs w:val="24"/>
          <w:lang w:eastAsia="hu-HU"/>
        </w:rPr>
        <w:t xml:space="preserve"> </w:t>
      </w:r>
      <w:r w:rsidRPr="008D00FD">
        <w:rPr>
          <w:color w:val="000000"/>
          <w:sz w:val="23"/>
          <w:szCs w:val="23"/>
          <w:lang w:eastAsia="hu-HU"/>
        </w:rPr>
        <w:t xml:space="preserve">Az Európai Közösségen belüli vasúti rendszerek átjárhatóságáról szóló 2008/57/EK direktíva, és az 1301/2014/EU, valamint az 1302/2014/EU és 2018/868 végrehajtási rendelet tartalmazza a fogyasztásmérés alapú vontatási villamos energia elszámoláshoz kapcsolódó alrendszerekre vonatkozó átjárhatóság műszaki előírásait. Az előírásokban foglaltak szerint a fogyasztásmérés alapú vontatási villamos energia elszámolásba a rendeletekben meghivatkozott feltételek teljesítése esetén lehet bevonni a járműveket, melyet a Notified Body (Európai Uniós hatáskörrel rendelkező tanúsítást, megfelelésrtékelést végző bejelentett szervezet) tud jóváhagyni és ellenőrizni. </w:t>
      </w:r>
    </w:p>
    <w:p w14:paraId="1961C013" w14:textId="77777777" w:rsidR="00263240" w:rsidRPr="008D00FD" w:rsidRDefault="00263240" w:rsidP="00263240">
      <w:pPr>
        <w:suppressAutoHyphens w:val="0"/>
        <w:overflowPunct/>
        <w:autoSpaceDN w:val="0"/>
        <w:adjustRightInd w:val="0"/>
        <w:textAlignment w:val="auto"/>
        <w:rPr>
          <w:color w:val="000000"/>
          <w:sz w:val="23"/>
          <w:szCs w:val="23"/>
          <w:lang w:eastAsia="hu-HU"/>
        </w:rPr>
      </w:pPr>
    </w:p>
    <w:p w14:paraId="56125D03" w14:textId="77777777" w:rsidR="00263240" w:rsidRDefault="00263240" w:rsidP="00B33DAC">
      <w:pPr>
        <w:suppressAutoHyphens w:val="0"/>
        <w:overflowPunct/>
        <w:autoSpaceDN w:val="0"/>
        <w:adjustRightInd w:val="0"/>
        <w:jc w:val="both"/>
        <w:textAlignment w:val="auto"/>
        <w:rPr>
          <w:color w:val="000000"/>
          <w:sz w:val="23"/>
          <w:szCs w:val="23"/>
          <w:lang w:eastAsia="hu-HU"/>
        </w:rPr>
      </w:pPr>
      <w:r w:rsidRPr="008D00FD">
        <w:rPr>
          <w:color w:val="000000"/>
          <w:sz w:val="23"/>
          <w:szCs w:val="23"/>
          <w:lang w:eastAsia="hu-HU"/>
        </w:rPr>
        <w:t xml:space="preserve">Az előzőek alapján a MÁV Zrt. a fogyasztásmérés alapján történő vontatási villamos energia elszámolást a hatályos Európai Uniós rendeletek, nemzetközi szabályozások, valamint a magyar jogszabályok alapján kívánja alkalmazni, ezért hitelt érdemlően kíván meggyőződni arról, hogy a fogyasztásmérésbe bevonni kívánt transzeurópai vasúti rendszerben üzemelő vontatójárművek villamos fogyasztás mérésre szolgáló mérőváltóira és fogyasztásmérőire, valamint energiamérő rendszerére vonatkozó hitelesítési, tanúsítási dokumentumok a hazai előírásoknak és a magyarországi dokumentációs követelményeknek megfelelnek, valamint az általuk mért fogyasztási adatok elszámolási célra felhasználhatóak a MÁV Zrt. hálózatán. </w:t>
      </w:r>
    </w:p>
    <w:p w14:paraId="19871A34" w14:textId="77777777" w:rsidR="00263240" w:rsidRPr="008D00FD" w:rsidRDefault="00263240" w:rsidP="00263240">
      <w:pPr>
        <w:suppressAutoHyphens w:val="0"/>
        <w:overflowPunct/>
        <w:autoSpaceDN w:val="0"/>
        <w:adjustRightInd w:val="0"/>
        <w:textAlignment w:val="auto"/>
        <w:rPr>
          <w:color w:val="000000"/>
          <w:sz w:val="23"/>
          <w:szCs w:val="23"/>
          <w:lang w:eastAsia="hu-HU"/>
        </w:rPr>
      </w:pPr>
    </w:p>
    <w:p w14:paraId="6F04F5C2" w14:textId="77777777" w:rsidR="00263240" w:rsidRPr="006164F1" w:rsidRDefault="00263240" w:rsidP="00263240">
      <w:pPr>
        <w:autoSpaceDN w:val="0"/>
        <w:adjustRightInd w:val="0"/>
        <w:jc w:val="both"/>
        <w:rPr>
          <w:sz w:val="22"/>
          <w:szCs w:val="22"/>
        </w:rPr>
      </w:pPr>
      <w:r w:rsidRPr="008D00FD">
        <w:rPr>
          <w:color w:val="000000"/>
          <w:sz w:val="23"/>
          <w:szCs w:val="23"/>
          <w:lang w:eastAsia="hu-HU"/>
        </w:rPr>
        <w:t>A fentiekkel összhangban a vállalkozó feladata, hogy szakvéleményt, illetve tanúsítást állítson ki arra vonatkozóan, hogy a fogyasztásmérésbe bevonni kívánt transzeurópai vasúti rendszerben üzemelő vontatójárművek villamos fogyasztásmérésre szolgáló mérőváltói és fogyasztásmérői, valamint energiamérő rendszere, illetve az ehhez kapcsolódó informatikai rendszerekre vonatkozó hitelesítési, tanúsítási dokumentumok hatályos EU rendeleteknek, nemzetközi szabályozásoknak, valamint a magyar jogszabályoknak megfelelnek-e.</w:t>
      </w:r>
    </w:p>
    <w:p w14:paraId="242C5836" w14:textId="79B0B951"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74C83AD2" w14:textId="054E9267" w:rsidR="00004D90" w:rsidRDefault="00004D90" w:rsidP="00592E87">
      <w:pPr>
        <w:keepNext/>
        <w:keepLines/>
        <w:suppressAutoHyphens w:val="0"/>
        <w:overflowPunct/>
        <w:autoSpaceDE/>
        <w:jc w:val="both"/>
        <w:textAlignment w:val="auto"/>
        <w:rPr>
          <w:sz w:val="22"/>
          <w:szCs w:val="22"/>
        </w:rPr>
      </w:pPr>
      <w:r w:rsidRPr="006164F1">
        <w:rPr>
          <w:b/>
          <w:sz w:val="22"/>
          <w:szCs w:val="22"/>
        </w:rPr>
        <w:t>Ajánlati ár</w:t>
      </w:r>
      <w:r w:rsidR="00772DFF">
        <w:rPr>
          <w:b/>
          <w:sz w:val="22"/>
          <w:szCs w:val="22"/>
        </w:rPr>
        <w:t xml:space="preserve"> (</w:t>
      </w:r>
      <w:r w:rsidR="00C00471">
        <w:rPr>
          <w:b/>
          <w:sz w:val="22"/>
          <w:szCs w:val="22"/>
        </w:rPr>
        <w:t xml:space="preserve">vállalkozói </w:t>
      </w:r>
      <w:r w:rsidR="00772DFF">
        <w:rPr>
          <w:b/>
          <w:sz w:val="22"/>
          <w:szCs w:val="22"/>
        </w:rPr>
        <w:t xml:space="preserve"> óradíj)</w:t>
      </w:r>
      <w:r w:rsidRPr="006164F1">
        <w:rPr>
          <w:sz w:val="22"/>
          <w:szCs w:val="22"/>
        </w:rPr>
        <w:t xml:space="preserve"> (nettó összeg HUF</w:t>
      </w:r>
      <w:r w:rsidR="00772DFF">
        <w:rPr>
          <w:sz w:val="22"/>
          <w:szCs w:val="22"/>
        </w:rPr>
        <w:t xml:space="preserve"> / óra</w:t>
      </w:r>
      <w:r w:rsidRPr="006164F1">
        <w:rPr>
          <w:sz w:val="22"/>
          <w:szCs w:val="22"/>
        </w:rPr>
        <w:t xml:space="preserve">): </w:t>
      </w:r>
      <w:r w:rsidRPr="006164F1">
        <w:rPr>
          <w:b/>
          <w:sz w:val="22"/>
          <w:szCs w:val="22"/>
        </w:rPr>
        <w:t xml:space="preserve">…….…….. Ft </w:t>
      </w:r>
      <w:r w:rsidR="004324A5">
        <w:rPr>
          <w:b/>
          <w:sz w:val="22"/>
          <w:szCs w:val="22"/>
        </w:rPr>
        <w:t>/óra</w:t>
      </w:r>
      <w:r w:rsidRPr="006164F1">
        <w:rPr>
          <w:b/>
          <w:sz w:val="22"/>
          <w:szCs w:val="22"/>
        </w:rPr>
        <w:t>+ÁFA</w:t>
      </w:r>
      <w:r w:rsidRPr="006164F1">
        <w:rPr>
          <w:sz w:val="22"/>
          <w:szCs w:val="22"/>
        </w:rPr>
        <w:t xml:space="preserve"> (azaz …………. forint</w:t>
      </w:r>
      <w:r w:rsidR="004324A5">
        <w:rPr>
          <w:sz w:val="22"/>
          <w:szCs w:val="22"/>
        </w:rPr>
        <w:t>/óra</w:t>
      </w:r>
      <w:r w:rsidRPr="006164F1">
        <w:rPr>
          <w:sz w:val="22"/>
          <w:szCs w:val="22"/>
        </w:rPr>
        <w:t xml:space="preserve"> + ÁFA)</w:t>
      </w:r>
    </w:p>
    <w:p w14:paraId="2272DECD" w14:textId="3C88E1FA" w:rsidR="00772DFF" w:rsidRDefault="00772DFF" w:rsidP="00592E87">
      <w:pPr>
        <w:keepNext/>
        <w:keepLines/>
        <w:suppressAutoHyphens w:val="0"/>
        <w:overflowPunct/>
        <w:autoSpaceDE/>
        <w:jc w:val="both"/>
        <w:textAlignment w:val="auto"/>
        <w:rPr>
          <w:sz w:val="22"/>
          <w:szCs w:val="22"/>
        </w:rPr>
      </w:pPr>
    </w:p>
    <w:tbl>
      <w:tblPr>
        <w:tblW w:w="9286" w:type="dxa"/>
        <w:tblCellMar>
          <w:left w:w="70" w:type="dxa"/>
          <w:right w:w="70" w:type="dxa"/>
        </w:tblCellMar>
        <w:tblLook w:val="04A0" w:firstRow="1" w:lastRow="0" w:firstColumn="1" w:lastColumn="0" w:noHBand="0" w:noVBand="1"/>
      </w:tblPr>
      <w:tblGrid>
        <w:gridCol w:w="1279"/>
        <w:gridCol w:w="8007"/>
      </w:tblGrid>
      <w:tr w:rsidR="00772DFF" w:rsidRPr="00BF18E9" w14:paraId="5F2D9FDA" w14:textId="77777777" w:rsidTr="00E6033C">
        <w:trPr>
          <w:trHeight w:val="300"/>
        </w:trPr>
        <w:tc>
          <w:tcPr>
            <w:tcW w:w="5954" w:type="dxa"/>
            <w:gridSpan w:val="2"/>
            <w:tcBorders>
              <w:top w:val="nil"/>
              <w:left w:val="nil"/>
              <w:bottom w:val="nil"/>
              <w:right w:val="nil"/>
            </w:tcBorders>
            <w:shd w:val="clear" w:color="auto" w:fill="auto"/>
            <w:noWrap/>
            <w:vAlign w:val="bottom"/>
          </w:tcPr>
          <w:p w14:paraId="15FE7DD2" w14:textId="360502F1" w:rsidR="00772DFF" w:rsidRPr="00BF18E9" w:rsidRDefault="00772DFF" w:rsidP="004324A5">
            <w:pPr>
              <w:rPr>
                <w:b/>
                <w:color w:val="000000"/>
                <w:szCs w:val="24"/>
                <w:lang w:eastAsia="hu-HU"/>
              </w:rPr>
            </w:pPr>
          </w:p>
        </w:tc>
      </w:tr>
      <w:tr w:rsidR="00772DFF" w:rsidRPr="00BF18E9" w14:paraId="03F4A184" w14:textId="77777777" w:rsidTr="00E6033C">
        <w:trPr>
          <w:trHeight w:val="300"/>
        </w:trPr>
        <w:tc>
          <w:tcPr>
            <w:tcW w:w="820" w:type="dxa"/>
            <w:tcBorders>
              <w:top w:val="nil"/>
              <w:left w:val="nil"/>
              <w:bottom w:val="nil"/>
              <w:right w:val="nil"/>
            </w:tcBorders>
            <w:shd w:val="clear" w:color="auto" w:fill="auto"/>
            <w:noWrap/>
            <w:vAlign w:val="bottom"/>
          </w:tcPr>
          <w:p w14:paraId="745A61BB" w14:textId="1D1BB92C" w:rsidR="00772DFF" w:rsidRPr="00BF18E9" w:rsidRDefault="00772DFF" w:rsidP="004324A5">
            <w:pPr>
              <w:jc w:val="right"/>
              <w:rPr>
                <w:color w:val="000000"/>
                <w:szCs w:val="24"/>
                <w:lang w:eastAsia="hu-HU"/>
              </w:rPr>
            </w:pPr>
          </w:p>
        </w:tc>
        <w:tc>
          <w:tcPr>
            <w:tcW w:w="5134" w:type="dxa"/>
            <w:tcBorders>
              <w:top w:val="nil"/>
              <w:left w:val="nil"/>
              <w:bottom w:val="nil"/>
              <w:right w:val="nil"/>
            </w:tcBorders>
            <w:shd w:val="clear" w:color="auto" w:fill="auto"/>
            <w:noWrap/>
            <w:vAlign w:val="bottom"/>
          </w:tcPr>
          <w:p w14:paraId="4A644695" w14:textId="422BD4C8" w:rsidR="00772DFF" w:rsidRPr="00BF18E9" w:rsidRDefault="00772DFF" w:rsidP="004324A5">
            <w:pPr>
              <w:rPr>
                <w:color w:val="000000"/>
                <w:szCs w:val="24"/>
                <w:lang w:eastAsia="hu-HU"/>
              </w:rPr>
            </w:pPr>
          </w:p>
        </w:tc>
      </w:tr>
      <w:tr w:rsidR="00772DFF" w:rsidRPr="00BF18E9" w14:paraId="25453673" w14:textId="77777777" w:rsidTr="00E6033C">
        <w:trPr>
          <w:trHeight w:val="300"/>
        </w:trPr>
        <w:tc>
          <w:tcPr>
            <w:tcW w:w="820" w:type="dxa"/>
            <w:tcBorders>
              <w:top w:val="nil"/>
              <w:left w:val="nil"/>
              <w:bottom w:val="nil"/>
              <w:right w:val="nil"/>
            </w:tcBorders>
            <w:shd w:val="clear" w:color="auto" w:fill="auto"/>
            <w:noWrap/>
            <w:vAlign w:val="bottom"/>
          </w:tcPr>
          <w:p w14:paraId="5AE50132" w14:textId="33DAB5E6" w:rsidR="00772DFF" w:rsidRPr="00BF18E9" w:rsidRDefault="00772DFF" w:rsidP="004324A5">
            <w:pPr>
              <w:jc w:val="right"/>
              <w:rPr>
                <w:color w:val="000000"/>
                <w:szCs w:val="24"/>
                <w:lang w:eastAsia="hu-HU"/>
              </w:rPr>
            </w:pPr>
          </w:p>
        </w:tc>
        <w:tc>
          <w:tcPr>
            <w:tcW w:w="5134" w:type="dxa"/>
            <w:tcBorders>
              <w:top w:val="nil"/>
              <w:left w:val="nil"/>
              <w:bottom w:val="nil"/>
              <w:right w:val="nil"/>
            </w:tcBorders>
            <w:shd w:val="clear" w:color="auto" w:fill="auto"/>
            <w:noWrap/>
            <w:vAlign w:val="bottom"/>
          </w:tcPr>
          <w:p w14:paraId="1E6BB681" w14:textId="70650706" w:rsidR="00772DFF" w:rsidRPr="00BF18E9" w:rsidRDefault="00772DFF" w:rsidP="004324A5">
            <w:pPr>
              <w:rPr>
                <w:color w:val="000000"/>
                <w:szCs w:val="24"/>
                <w:lang w:eastAsia="hu-HU"/>
              </w:rPr>
            </w:pPr>
          </w:p>
        </w:tc>
      </w:tr>
      <w:tr w:rsidR="00772DFF" w:rsidRPr="00BF18E9" w14:paraId="09474EE6" w14:textId="77777777" w:rsidTr="00E6033C">
        <w:trPr>
          <w:trHeight w:val="80"/>
        </w:trPr>
        <w:tc>
          <w:tcPr>
            <w:tcW w:w="820" w:type="dxa"/>
            <w:tcBorders>
              <w:top w:val="nil"/>
              <w:left w:val="nil"/>
              <w:bottom w:val="nil"/>
              <w:right w:val="nil"/>
            </w:tcBorders>
            <w:shd w:val="clear" w:color="auto" w:fill="auto"/>
            <w:noWrap/>
            <w:vAlign w:val="bottom"/>
          </w:tcPr>
          <w:p w14:paraId="6B46AD78" w14:textId="75664E9C" w:rsidR="00772DFF" w:rsidRPr="00BF18E9" w:rsidRDefault="00772DFF" w:rsidP="004324A5">
            <w:pPr>
              <w:jc w:val="right"/>
              <w:rPr>
                <w:color w:val="000000"/>
                <w:szCs w:val="24"/>
                <w:lang w:eastAsia="hu-HU"/>
              </w:rPr>
            </w:pPr>
          </w:p>
        </w:tc>
        <w:tc>
          <w:tcPr>
            <w:tcW w:w="5134" w:type="dxa"/>
            <w:tcBorders>
              <w:top w:val="nil"/>
              <w:left w:val="nil"/>
              <w:bottom w:val="nil"/>
              <w:right w:val="nil"/>
            </w:tcBorders>
            <w:shd w:val="clear" w:color="auto" w:fill="auto"/>
            <w:noWrap/>
            <w:vAlign w:val="bottom"/>
          </w:tcPr>
          <w:p w14:paraId="1179D0AE" w14:textId="300892B0" w:rsidR="00772DFF" w:rsidRPr="00BF18E9" w:rsidRDefault="00772DFF" w:rsidP="004324A5">
            <w:pPr>
              <w:rPr>
                <w:color w:val="000000"/>
                <w:szCs w:val="24"/>
                <w:lang w:eastAsia="hu-HU"/>
              </w:rPr>
            </w:pPr>
          </w:p>
        </w:tc>
      </w:tr>
    </w:tbl>
    <w:p w14:paraId="6A521560" w14:textId="77777777" w:rsidR="00772DFF" w:rsidRPr="006164F1" w:rsidRDefault="00772DFF" w:rsidP="00592E87">
      <w:pPr>
        <w:keepNext/>
        <w:keepLines/>
        <w:suppressAutoHyphens w:val="0"/>
        <w:overflowPunct/>
        <w:autoSpaceDE/>
        <w:jc w:val="both"/>
        <w:textAlignment w:val="auto"/>
        <w:rPr>
          <w:b/>
          <w:sz w:val="22"/>
          <w:szCs w:val="22"/>
          <w:lang w:eastAsia="hu-HU"/>
        </w:rPr>
      </w:pPr>
    </w:p>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2617DF08"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mint Ajánlatkérő által a</w:t>
      </w:r>
      <w:r w:rsidR="00772DFF">
        <w:rPr>
          <w:sz w:val="22"/>
          <w:szCs w:val="22"/>
          <w:lang w:eastAsia="hu-HU"/>
        </w:rPr>
        <w:t>z</w:t>
      </w:r>
      <w:r w:rsidRPr="006164F1">
        <w:rPr>
          <w:sz w:val="22"/>
          <w:szCs w:val="22"/>
          <w:lang w:eastAsia="hu-HU"/>
        </w:rPr>
        <w:t xml:space="preserve"> </w:t>
      </w:r>
      <w:r w:rsidR="00772DFF" w:rsidRPr="00772DFF">
        <w:rPr>
          <w:b/>
          <w:i/>
          <w:sz w:val="22"/>
          <w:szCs w:val="22"/>
        </w:rPr>
        <w:t>A vasúti rendszerben üzemelő vontatójárművek villamos fogyasztásmérésének felülvizsgálatára, valamint az energiamérő rendszerére és a kapcsolódó informatikai rendszerekre vonatkozó szakvélemény, illetve tanúsítvány elkészítését biztosító vállalkozási keretszerződés</w:t>
      </w:r>
      <w:r w:rsidR="00772DFF">
        <w:rPr>
          <w:b/>
          <w:i/>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1A554ABE"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00772DFF">
        <w:rPr>
          <w:sz w:val="22"/>
          <w:szCs w:val="22"/>
        </w:rPr>
        <w:t>az „</w:t>
      </w:r>
      <w:r w:rsidR="00772DFF" w:rsidRPr="00772DFF">
        <w:rPr>
          <w:b/>
          <w:i/>
          <w:sz w:val="22"/>
          <w:szCs w:val="22"/>
        </w:rPr>
        <w:t>A vasúti rendszerben üzemelő vontatójárművek villamos fogyasztásmérésének felülvizsgálatára, valamint az energiamérő rendszerére és a kapcsolódó informatikai rendszerekre vonatkozó szakvélemény, illetve tanúsítvány elkészítését biztosító vállalkozási keretszerződés</w:t>
      </w:r>
      <w:r w:rsidR="00772DFF">
        <w:rPr>
          <w:b/>
          <w:i/>
        </w:rPr>
        <w:t xml:space="preserve">” </w:t>
      </w:r>
      <w:r w:rsidRPr="006164F1">
        <w:rPr>
          <w:sz w:val="22"/>
          <w:szCs w:val="22"/>
        </w:rPr>
        <w:t>tárgyú beszerzési eljárásban az alábbi nyilatkozatot teszem:</w:t>
      </w:r>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772DFF">
      <w:pPr>
        <w:numPr>
          <w:ilvl w:val="0"/>
          <w:numId w:val="11"/>
        </w:numPr>
        <w:shd w:val="clear" w:color="auto" w:fill="FFFFFF"/>
        <w:suppressAutoHyphens w:val="0"/>
        <w:ind w:left="142"/>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772DFF">
      <w:pPr>
        <w:numPr>
          <w:ilvl w:val="0"/>
          <w:numId w:val="11"/>
        </w:numPr>
        <w:shd w:val="clear" w:color="auto" w:fill="FFFFFF"/>
        <w:suppressAutoHyphens w:val="0"/>
        <w:ind w:left="142"/>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772DFF">
      <w:pPr>
        <w:numPr>
          <w:ilvl w:val="0"/>
          <w:numId w:val="11"/>
        </w:numPr>
        <w:shd w:val="clear" w:color="auto" w:fill="FFFFFF"/>
        <w:suppressAutoHyphens w:val="0"/>
        <w:ind w:left="142"/>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772DFF">
      <w:pPr>
        <w:numPr>
          <w:ilvl w:val="0"/>
          <w:numId w:val="11"/>
        </w:numPr>
        <w:shd w:val="clear" w:color="auto" w:fill="FFFFFF"/>
        <w:suppressAutoHyphens w:val="0"/>
        <w:ind w:left="142"/>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772DFF">
      <w:pPr>
        <w:numPr>
          <w:ilvl w:val="0"/>
          <w:numId w:val="11"/>
        </w:numPr>
        <w:shd w:val="clear" w:color="auto" w:fill="FFFFFF"/>
        <w:suppressAutoHyphens w:val="0"/>
        <w:ind w:left="142"/>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772DFF">
      <w:pPr>
        <w:numPr>
          <w:ilvl w:val="0"/>
          <w:numId w:val="11"/>
        </w:numPr>
        <w:shd w:val="clear" w:color="auto" w:fill="FFFFFF"/>
        <w:suppressAutoHyphens w:val="0"/>
        <w:ind w:left="142"/>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4514A72B" w:rsidR="00004D90" w:rsidRPr="00772DFF" w:rsidRDefault="00CE6912" w:rsidP="00772DFF">
      <w:pPr>
        <w:numPr>
          <w:ilvl w:val="0"/>
          <w:numId w:val="11"/>
        </w:numPr>
        <w:shd w:val="clear" w:color="auto" w:fill="FFFFFF"/>
        <w:suppressAutoHyphens w:val="0"/>
        <w:spacing w:after="120"/>
        <w:ind w:left="142"/>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7F4E6C23" w14:textId="10648DFA"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00772DFF">
        <w:rPr>
          <w:sz w:val="22"/>
          <w:szCs w:val="22"/>
        </w:rPr>
        <w:t xml:space="preserve">az </w:t>
      </w:r>
      <w:r w:rsidR="00772DFF" w:rsidRPr="00772DFF">
        <w:rPr>
          <w:sz w:val="22"/>
          <w:szCs w:val="22"/>
        </w:rPr>
        <w:t>„</w:t>
      </w:r>
      <w:r w:rsidR="00772DFF" w:rsidRPr="00772DFF">
        <w:rPr>
          <w:b/>
          <w:i/>
          <w:sz w:val="22"/>
          <w:szCs w:val="22"/>
        </w:rPr>
        <w:t>A vasúti rendszerben üzemelő vontatójárművek villamos fogyasztásmérésének felülvizsgálatára, valamint az energiamérő rendszerére és a kapcsolódó informatikai rendszerekre vonatkozó szakvélemény, illetve tanúsítvány elkészítését biztosító vállalkozási keretszerződés”</w:t>
      </w:r>
      <w:r w:rsidR="00772DFF">
        <w:rPr>
          <w:b/>
          <w:i/>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18CC4C99" w:rsidR="00B969DB" w:rsidRPr="006164F1" w:rsidRDefault="00004D90" w:rsidP="00CE6912">
      <w:pPr>
        <w:widowControl w:val="0"/>
        <w:adjustRightInd w:val="0"/>
        <w:jc w:val="center"/>
        <w:rPr>
          <w:sz w:val="22"/>
          <w:szCs w:val="22"/>
        </w:rPr>
      </w:pPr>
      <w:r w:rsidRPr="006164F1">
        <w:rPr>
          <w:sz w:val="22"/>
          <w:szCs w:val="22"/>
        </w:rPr>
        <w:t xml:space="preserve">                                                  </w:t>
      </w:r>
      <w:r w:rsidR="00772DFF">
        <w:rPr>
          <w:sz w:val="22"/>
          <w:szCs w:val="22"/>
        </w:rPr>
        <w:t xml:space="preserve">       </w:t>
      </w: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2842726B" w14:textId="70EAAD59" w:rsidR="009E213F" w:rsidRDefault="009E213F">
      <w:pPr>
        <w:suppressAutoHyphens w:val="0"/>
        <w:overflowPunct/>
        <w:autoSpaceDE/>
        <w:textAlignment w:val="auto"/>
        <w:rPr>
          <w:b/>
          <w:caps/>
          <w:sz w:val="22"/>
          <w:szCs w:val="22"/>
        </w:rPr>
      </w:pP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6DBD20FF"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footerReference w:type="default" r:id="rId8"/>
          <w:pgSz w:w="11909" w:h="16834"/>
          <w:pgMar w:top="1440" w:right="1440" w:bottom="1440" w:left="1440" w:header="708" w:footer="708" w:gutter="0"/>
          <w:cols w:space="708"/>
        </w:sectPr>
      </w:pPr>
    </w:p>
    <w:p w14:paraId="7DF6DD03" w14:textId="3CEACF12" w:rsidR="0028440D" w:rsidRPr="006164F1" w:rsidRDefault="00DF216E" w:rsidP="0028440D">
      <w:pPr>
        <w:keepNext/>
        <w:jc w:val="right"/>
        <w:outlineLvl w:val="1"/>
        <w:rPr>
          <w:b/>
          <w:bCs/>
          <w:iCs/>
          <w:sz w:val="22"/>
          <w:szCs w:val="22"/>
          <w:lang w:eastAsia="en-US"/>
        </w:rPr>
      </w:pPr>
      <w:r>
        <w:rPr>
          <w:i/>
          <w:sz w:val="22"/>
          <w:szCs w:val="22"/>
          <w:lang w:eastAsia="hu-HU"/>
        </w:rPr>
        <w:lastRenderedPageBreak/>
        <w:t>5</w:t>
      </w:r>
      <w:r w:rsidR="0028440D" w:rsidRPr="006164F1">
        <w:rPr>
          <w:i/>
          <w:sz w:val="22"/>
          <w:szCs w:val="22"/>
          <w:lang w:eastAsia="hu-HU"/>
        </w:rPr>
        <w:t>.sz. melléklet</w:t>
      </w:r>
    </w:p>
    <w:p w14:paraId="0289A957" w14:textId="77777777" w:rsidR="0028440D" w:rsidRPr="006164F1" w:rsidRDefault="0028440D" w:rsidP="0028440D">
      <w:pPr>
        <w:keepNext/>
        <w:jc w:val="right"/>
        <w:outlineLvl w:val="1"/>
        <w:rPr>
          <w:b/>
          <w:bCs/>
          <w:iCs/>
          <w:sz w:val="22"/>
          <w:szCs w:val="22"/>
          <w:lang w:eastAsia="en-US"/>
        </w:rPr>
      </w:pPr>
    </w:p>
    <w:p w14:paraId="76321BC9" w14:textId="77777777" w:rsidR="00300F66" w:rsidRDefault="00801389" w:rsidP="0028440D">
      <w:pPr>
        <w:keepNext/>
        <w:jc w:val="center"/>
        <w:outlineLvl w:val="1"/>
        <w:rPr>
          <w:b/>
          <w:bCs/>
          <w:iCs/>
          <w:sz w:val="22"/>
          <w:szCs w:val="22"/>
          <w:lang w:eastAsia="en-US"/>
        </w:rPr>
      </w:pPr>
      <w:r w:rsidRPr="006164F1">
        <w:rPr>
          <w:b/>
          <w:bCs/>
          <w:iCs/>
          <w:sz w:val="22"/>
          <w:szCs w:val="22"/>
          <w:lang w:eastAsia="en-US"/>
        </w:rPr>
        <w:t>Referencia nyilatkozat</w:t>
      </w:r>
    </w:p>
    <w:p w14:paraId="7B60DC2A" w14:textId="0683C393" w:rsidR="00801389" w:rsidRDefault="00801389" w:rsidP="0028440D">
      <w:pPr>
        <w:keepNext/>
        <w:jc w:val="center"/>
        <w:outlineLvl w:val="1"/>
        <w:rPr>
          <w:b/>
          <w:bCs/>
          <w:iCs/>
          <w:sz w:val="22"/>
          <w:szCs w:val="22"/>
          <w:lang w:eastAsia="en-US"/>
        </w:rPr>
      </w:pPr>
    </w:p>
    <w:p w14:paraId="4DEB28A0" w14:textId="77777777" w:rsidR="00CF6D38" w:rsidRDefault="00CF6D38" w:rsidP="0028440D">
      <w:pPr>
        <w:keepNext/>
        <w:jc w:val="center"/>
        <w:outlineLvl w:val="1"/>
        <w:rPr>
          <w:b/>
          <w:bCs/>
          <w:iCs/>
          <w:sz w:val="22"/>
          <w:szCs w:val="22"/>
          <w:lang w:eastAsia="en-US"/>
        </w:rPr>
      </w:pPr>
    </w:p>
    <w:p w14:paraId="100C300B" w14:textId="77777777" w:rsidR="00CF6D38" w:rsidRPr="006164F1" w:rsidRDefault="00CF6D38" w:rsidP="0028440D">
      <w:pPr>
        <w:keepNext/>
        <w:jc w:val="center"/>
        <w:outlineLvl w:val="1"/>
        <w:rPr>
          <w:b/>
          <w:bCs/>
          <w:iCs/>
          <w:sz w:val="22"/>
          <w:szCs w:val="22"/>
          <w:lang w:eastAsia="en-US"/>
        </w:rPr>
      </w:pPr>
    </w:p>
    <w:p w14:paraId="3E9BE2A6" w14:textId="77777777" w:rsidR="0028440D" w:rsidRPr="006164F1" w:rsidRDefault="0028440D" w:rsidP="0028440D">
      <w:pPr>
        <w:keepNext/>
        <w:jc w:val="center"/>
        <w:outlineLvl w:val="1"/>
        <w:rPr>
          <w:b/>
          <w:bCs/>
          <w:iCs/>
          <w:sz w:val="22"/>
          <w:szCs w:val="22"/>
          <w:lang w:eastAsia="en-US"/>
        </w:rPr>
      </w:pPr>
    </w:p>
    <w:p w14:paraId="7D52CD2C" w14:textId="17BC9D98" w:rsidR="00801389" w:rsidRPr="006164F1" w:rsidRDefault="00801389" w:rsidP="00801389">
      <w:pPr>
        <w:overflowPunct/>
        <w:autoSpaceDE/>
        <w:spacing w:after="240"/>
        <w:jc w:val="both"/>
        <w:textAlignment w:val="auto"/>
        <w:rPr>
          <w:sz w:val="22"/>
          <w:szCs w:val="22"/>
          <w:lang w:eastAsia="hu-HU"/>
        </w:rPr>
      </w:pPr>
      <w:r w:rsidRPr="006164F1">
        <w:rPr>
          <w:sz w:val="22"/>
          <w:szCs w:val="22"/>
          <w:lang w:eastAsia="hu-HU"/>
        </w:rPr>
        <w:t>Alulírott …………………..…..………, mint a(z) …........................................………(cégnév) …………...................... (székhely) ajánlattevő cégjegyzésre jogosult képviselője/cégjegyzésre jogosult által meghatalmazott személy, nyilatkozom, hogy</w:t>
      </w:r>
      <w:r w:rsidR="00DF216E">
        <w:rPr>
          <w:sz w:val="22"/>
          <w:szCs w:val="22"/>
          <w:lang w:eastAsia="hu-HU"/>
        </w:rPr>
        <w:t xml:space="preserve"> az</w:t>
      </w:r>
      <w:r w:rsidRPr="006164F1">
        <w:rPr>
          <w:sz w:val="22"/>
          <w:szCs w:val="22"/>
          <w:lang w:eastAsia="hu-HU"/>
        </w:rPr>
        <w:t xml:space="preserve"> </w:t>
      </w:r>
      <w:r w:rsidR="00DF216E" w:rsidRPr="00DF216E">
        <w:rPr>
          <w:sz w:val="22"/>
          <w:szCs w:val="22"/>
          <w:lang w:eastAsia="hu-HU"/>
        </w:rPr>
        <w:t>„</w:t>
      </w:r>
      <w:r w:rsidR="00DF216E" w:rsidRPr="00DF216E">
        <w:rPr>
          <w:b/>
          <w:i/>
          <w:sz w:val="22"/>
          <w:szCs w:val="22"/>
        </w:rPr>
        <w:t>A vasúti rendszerben üzemelő vontatójárművek villamos fogyasztásmérésének felülvizsgálatára, valamint az energiamérő rendszerére és a kapcsolódó informatikai rendszerekre vonatkozó szakvélemény, illetve tanúsítvány elkészítését biztosító vállalkozási keretszerződés”</w:t>
      </w:r>
      <w:r w:rsidR="00DF216E">
        <w:rPr>
          <w:b/>
          <w:i/>
        </w:rPr>
        <w:t xml:space="preserve"> </w:t>
      </w:r>
      <w:r w:rsidR="0028440D" w:rsidRPr="00DF216E">
        <w:rPr>
          <w:sz w:val="22"/>
          <w:szCs w:val="22"/>
          <w:lang w:eastAsia="hu-HU"/>
        </w:rPr>
        <w:t xml:space="preserve">tárgyú beszerzési eljárásban </w:t>
      </w:r>
      <w:r w:rsidRPr="00DF216E">
        <w:rPr>
          <w:sz w:val="22"/>
          <w:szCs w:val="22"/>
          <w:lang w:eastAsia="hu-HU"/>
        </w:rPr>
        <w:t xml:space="preserve">az általam jegyzett cég az ajánlattételi felhívás megküldésének visszafelé számított </w:t>
      </w:r>
      <w:r w:rsidR="00DF216E" w:rsidRPr="00DF216E">
        <w:rPr>
          <w:sz w:val="22"/>
          <w:szCs w:val="22"/>
          <w:lang w:eastAsia="hu-HU"/>
        </w:rPr>
        <w:t>36</w:t>
      </w:r>
      <w:r w:rsidRPr="00DF216E">
        <w:rPr>
          <w:sz w:val="22"/>
          <w:szCs w:val="22"/>
          <w:lang w:eastAsia="hu-HU"/>
        </w:rPr>
        <w:t xml:space="preserve"> hónapban az alábbi, beszerzés tárgya szerinti referenciákkal rendelkezik:</w:t>
      </w:r>
    </w:p>
    <w:tbl>
      <w:tblPr>
        <w:tblStyle w:val="Rcsostblzat3"/>
        <w:tblW w:w="10790" w:type="dxa"/>
        <w:tblInd w:w="-856" w:type="dxa"/>
        <w:tblLayout w:type="fixed"/>
        <w:tblLook w:val="04A0" w:firstRow="1" w:lastRow="0" w:firstColumn="1" w:lastColumn="0" w:noHBand="0" w:noVBand="1"/>
      </w:tblPr>
      <w:tblGrid>
        <w:gridCol w:w="1844"/>
        <w:gridCol w:w="1842"/>
        <w:gridCol w:w="2552"/>
        <w:gridCol w:w="1276"/>
        <w:gridCol w:w="1417"/>
        <w:gridCol w:w="1859"/>
      </w:tblGrid>
      <w:tr w:rsidR="0028440D" w:rsidRPr="006164F1" w14:paraId="78514A91" w14:textId="77777777" w:rsidTr="00DF216E">
        <w:trPr>
          <w:trHeight w:val="1543"/>
        </w:trPr>
        <w:tc>
          <w:tcPr>
            <w:tcW w:w="1844" w:type="dxa"/>
            <w:vAlign w:val="center"/>
          </w:tcPr>
          <w:p w14:paraId="6C960D23" w14:textId="77777777" w:rsidR="0028440D" w:rsidRPr="006164F1" w:rsidRDefault="0028440D" w:rsidP="00801389">
            <w:pPr>
              <w:overflowPunct/>
              <w:autoSpaceDE/>
              <w:jc w:val="center"/>
              <w:textAlignment w:val="auto"/>
              <w:rPr>
                <w:b/>
                <w:sz w:val="22"/>
                <w:szCs w:val="22"/>
                <w:lang w:eastAsia="hu-HU"/>
              </w:rPr>
            </w:pPr>
            <w:r w:rsidRPr="006164F1">
              <w:rPr>
                <w:b/>
                <w:sz w:val="22"/>
                <w:szCs w:val="22"/>
                <w:lang w:eastAsia="hu-HU"/>
              </w:rPr>
              <w:t>A szerződést kötő másik fél</w:t>
            </w:r>
          </w:p>
          <w:p w14:paraId="5382F72B"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842" w:type="dxa"/>
            <w:vAlign w:val="center"/>
          </w:tcPr>
          <w:p w14:paraId="62510569"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552" w:type="dxa"/>
            <w:vAlign w:val="center"/>
          </w:tcPr>
          <w:p w14:paraId="59497059"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76" w:type="dxa"/>
            <w:vAlign w:val="center"/>
          </w:tcPr>
          <w:p w14:paraId="7167F30D"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3BE42911"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17" w:type="dxa"/>
            <w:vAlign w:val="center"/>
          </w:tcPr>
          <w:p w14:paraId="3B084805" w14:textId="7E8463F8" w:rsidR="0028440D" w:rsidRPr="006164F1" w:rsidRDefault="0028440D" w:rsidP="00DF216E">
            <w:pPr>
              <w:suppressAutoHyphens w:val="0"/>
              <w:overflowPunct/>
              <w:autoSpaceDE/>
              <w:jc w:val="center"/>
              <w:textAlignment w:val="auto"/>
              <w:rPr>
                <w:b/>
                <w:sz w:val="22"/>
                <w:szCs w:val="22"/>
                <w:lang w:eastAsia="hu-HU"/>
              </w:rPr>
            </w:pPr>
            <w:r w:rsidRPr="00DF216E">
              <w:rPr>
                <w:b/>
                <w:sz w:val="22"/>
                <w:szCs w:val="22"/>
                <w:lang w:eastAsia="hu-HU"/>
              </w:rPr>
              <w:t>Az elle</w:t>
            </w:r>
            <w:r w:rsidR="00DF216E" w:rsidRPr="00DF216E">
              <w:rPr>
                <w:b/>
                <w:sz w:val="22"/>
                <w:szCs w:val="22"/>
                <w:lang w:eastAsia="hu-HU"/>
              </w:rPr>
              <w:t>nszolgál-tatás összege</w:t>
            </w:r>
          </w:p>
        </w:tc>
        <w:tc>
          <w:tcPr>
            <w:tcW w:w="1859" w:type="dxa"/>
          </w:tcPr>
          <w:p w14:paraId="47BFAF4C" w14:textId="77777777" w:rsidR="0028440D" w:rsidRPr="006164F1" w:rsidRDefault="0028440D" w:rsidP="0028440D">
            <w:pPr>
              <w:jc w:val="center"/>
              <w:rPr>
                <w:b/>
                <w:sz w:val="22"/>
                <w:szCs w:val="22"/>
              </w:rPr>
            </w:pPr>
            <w:r w:rsidRPr="006164F1">
              <w:rPr>
                <w:b/>
                <w:sz w:val="22"/>
                <w:szCs w:val="22"/>
              </w:rPr>
              <w:t>A teljesítés az előírásoknak és a szerződésnek megfelelően történt-e.</w:t>
            </w:r>
          </w:p>
          <w:p w14:paraId="1FB4DB64" w14:textId="77777777" w:rsidR="0028440D" w:rsidRPr="006164F1" w:rsidRDefault="0028440D" w:rsidP="0028440D">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28440D" w:rsidRPr="006164F1" w14:paraId="00FF3624" w14:textId="77777777" w:rsidTr="00DF216E">
        <w:trPr>
          <w:trHeight w:val="476"/>
        </w:trPr>
        <w:tc>
          <w:tcPr>
            <w:tcW w:w="1844" w:type="dxa"/>
          </w:tcPr>
          <w:p w14:paraId="61A682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842" w:type="dxa"/>
          </w:tcPr>
          <w:p w14:paraId="4BDDE386"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552" w:type="dxa"/>
          </w:tcPr>
          <w:p w14:paraId="1A6E7555"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76" w:type="dxa"/>
          </w:tcPr>
          <w:p w14:paraId="1A97F5B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17" w:type="dxa"/>
          </w:tcPr>
          <w:p w14:paraId="52B9BA3B"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859" w:type="dxa"/>
          </w:tcPr>
          <w:p w14:paraId="3A2A39FB"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31D98BF9" w14:textId="77777777" w:rsidTr="00DF216E">
        <w:trPr>
          <w:trHeight w:val="476"/>
        </w:trPr>
        <w:tc>
          <w:tcPr>
            <w:tcW w:w="1844" w:type="dxa"/>
          </w:tcPr>
          <w:p w14:paraId="59CCC26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842" w:type="dxa"/>
          </w:tcPr>
          <w:p w14:paraId="1F4A62D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552" w:type="dxa"/>
          </w:tcPr>
          <w:p w14:paraId="03BE1E8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76" w:type="dxa"/>
          </w:tcPr>
          <w:p w14:paraId="2FA708A0"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17" w:type="dxa"/>
          </w:tcPr>
          <w:p w14:paraId="3602B0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859" w:type="dxa"/>
          </w:tcPr>
          <w:p w14:paraId="202E78B5"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1DE9F5C9" w14:textId="77777777" w:rsidTr="00DF216E">
        <w:trPr>
          <w:trHeight w:val="476"/>
        </w:trPr>
        <w:tc>
          <w:tcPr>
            <w:tcW w:w="1844" w:type="dxa"/>
          </w:tcPr>
          <w:p w14:paraId="01DBAF98"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842" w:type="dxa"/>
          </w:tcPr>
          <w:p w14:paraId="63EC0F6A"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552" w:type="dxa"/>
          </w:tcPr>
          <w:p w14:paraId="7218545C"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76" w:type="dxa"/>
          </w:tcPr>
          <w:p w14:paraId="2A69521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17" w:type="dxa"/>
          </w:tcPr>
          <w:p w14:paraId="25803D1D"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859" w:type="dxa"/>
          </w:tcPr>
          <w:p w14:paraId="43B550CF" w14:textId="77777777" w:rsidR="0028440D" w:rsidRPr="006164F1" w:rsidRDefault="0028440D" w:rsidP="00801389">
            <w:pPr>
              <w:suppressAutoHyphens w:val="0"/>
              <w:overflowPunct/>
              <w:autoSpaceDE/>
              <w:spacing w:before="120" w:after="120"/>
              <w:textAlignment w:val="auto"/>
              <w:rPr>
                <w:sz w:val="22"/>
                <w:szCs w:val="22"/>
                <w:lang w:eastAsia="hu-HU"/>
              </w:rPr>
            </w:pPr>
          </w:p>
        </w:tc>
      </w:tr>
    </w:tbl>
    <w:p w14:paraId="3386D8AB" w14:textId="77777777" w:rsidR="00801389" w:rsidRPr="006164F1" w:rsidRDefault="00801389" w:rsidP="00801389">
      <w:pPr>
        <w:overflowPunct/>
        <w:autoSpaceDE/>
        <w:spacing w:before="360" w:after="360"/>
        <w:textAlignment w:val="auto"/>
        <w:rPr>
          <w:sz w:val="22"/>
          <w:szCs w:val="22"/>
          <w:lang w:eastAsia="hu-HU"/>
        </w:rPr>
      </w:pPr>
      <w:r w:rsidRPr="006164F1">
        <w:rPr>
          <w:sz w:val="22"/>
          <w:szCs w:val="22"/>
          <w:lang w:eastAsia="hu-HU"/>
        </w:rPr>
        <w:t>Keltezés (helység, év, hónap, nap)</w:t>
      </w:r>
    </w:p>
    <w:p w14:paraId="5732D7E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w:t>
      </w:r>
    </w:p>
    <w:p w14:paraId="5490E90B"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5649331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51391ED7"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17610E20" w14:textId="77777777" w:rsidR="00801389" w:rsidRPr="006164F1" w:rsidRDefault="00801389" w:rsidP="00801389">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0167AA4F" w14:textId="77777777" w:rsidR="00801389" w:rsidRPr="006164F1"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1179DF5A" w14:textId="291DE9D3" w:rsidR="004F193D" w:rsidRPr="006164F1" w:rsidRDefault="00DF216E" w:rsidP="006C4375">
      <w:pPr>
        <w:widowControl w:val="0"/>
        <w:suppressAutoHyphens w:val="0"/>
        <w:spacing w:line="360" w:lineRule="auto"/>
        <w:jc w:val="right"/>
        <w:rPr>
          <w:sz w:val="22"/>
          <w:szCs w:val="22"/>
          <w:lang w:eastAsia="hu-HU"/>
        </w:rPr>
      </w:pPr>
      <w:r>
        <w:rPr>
          <w:i/>
          <w:sz w:val="22"/>
          <w:szCs w:val="22"/>
          <w:lang w:eastAsia="hu-HU"/>
        </w:rPr>
        <w:t>6</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7900901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Alulírott &lt;képviselő / meghatalmazott neve&gt; a(z) &lt;cégnév&gt; (&lt;székhely&gt;) mint ajánlattevő képviseletében a MÁV Zrt. mint Ajánlatkérő által</w:t>
      </w:r>
      <w:r w:rsidR="00DF216E">
        <w:rPr>
          <w:sz w:val="22"/>
          <w:szCs w:val="22"/>
          <w:lang w:eastAsia="hu-HU"/>
        </w:rPr>
        <w:t xml:space="preserve"> az </w:t>
      </w:r>
      <w:r w:rsidRPr="006164F1">
        <w:rPr>
          <w:sz w:val="22"/>
          <w:szCs w:val="22"/>
          <w:lang w:eastAsia="hu-HU"/>
        </w:rPr>
        <w:t xml:space="preserve"> </w:t>
      </w:r>
      <w:r w:rsidR="00DF216E" w:rsidRPr="00DF216E">
        <w:rPr>
          <w:sz w:val="22"/>
          <w:szCs w:val="22"/>
          <w:lang w:eastAsia="hu-HU"/>
        </w:rPr>
        <w:t>„</w:t>
      </w:r>
      <w:r w:rsidR="00DF216E" w:rsidRPr="00DF216E">
        <w:rPr>
          <w:b/>
          <w:i/>
          <w:sz w:val="22"/>
          <w:szCs w:val="22"/>
        </w:rPr>
        <w:t>A vasúti rendszerben üzemelő vontatójárművek villamos fogyasztásmérésének felülvizsgálatára, valamint az energiamérő rendszerére és a kapcsolódó informatikai rendszerekre vonatkozó szakvélemény, illetve tanúsítvány elkészítését biztosító vállalkozási keretszerződés”</w:t>
      </w:r>
      <w:r w:rsidR="00DF216E">
        <w:rPr>
          <w:b/>
          <w:i/>
        </w:rPr>
        <w:t xml:space="preserv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562A5CFA" w:rsidR="004D5517" w:rsidRPr="006164F1" w:rsidRDefault="00DF216E" w:rsidP="004D5517">
      <w:pPr>
        <w:suppressAutoHyphens w:val="0"/>
        <w:overflowPunct/>
        <w:autoSpaceDE/>
        <w:jc w:val="right"/>
        <w:textAlignment w:val="auto"/>
        <w:rPr>
          <w:b/>
          <w:sz w:val="22"/>
          <w:szCs w:val="22"/>
          <w:lang w:eastAsia="hu-HU"/>
        </w:rPr>
      </w:pPr>
      <w:r>
        <w:rPr>
          <w:i/>
          <w:sz w:val="22"/>
          <w:szCs w:val="22"/>
          <w:lang w:eastAsia="hu-HU"/>
        </w:rPr>
        <w:lastRenderedPageBreak/>
        <w:t>7</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52EB3D1E"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Alulírott &lt;képviselő / meghatalmazott neve&gt; a(z) &lt;cégnév&gt; (&lt;székhely&gt;) mint ajánlattevő képviseletében a MÁV Zrt.. mint Ajánlatkérő által</w:t>
      </w:r>
      <w:r w:rsidR="00DF216E">
        <w:rPr>
          <w:sz w:val="22"/>
          <w:szCs w:val="22"/>
          <w:lang w:eastAsia="hu-HU"/>
        </w:rPr>
        <w:t xml:space="preserve"> az </w:t>
      </w:r>
      <w:r w:rsidRPr="006164F1">
        <w:rPr>
          <w:sz w:val="22"/>
          <w:szCs w:val="22"/>
          <w:lang w:eastAsia="hu-HU"/>
        </w:rPr>
        <w:t xml:space="preserve"> </w:t>
      </w:r>
      <w:r w:rsidR="00DF216E" w:rsidRPr="00DF216E">
        <w:rPr>
          <w:sz w:val="22"/>
          <w:szCs w:val="22"/>
          <w:lang w:eastAsia="hu-HU"/>
        </w:rPr>
        <w:t>„</w:t>
      </w:r>
      <w:r w:rsidR="00DF216E" w:rsidRPr="00DF216E">
        <w:rPr>
          <w:b/>
          <w:i/>
          <w:sz w:val="22"/>
          <w:szCs w:val="22"/>
        </w:rPr>
        <w:t>A vasúti rendszerben üzemelő vontatójárművek villamos fogyasztásmérésének felülvizsgálatára, valamint az energiamérő rendszerére és a kapcsolódó informatikai rendszerekre vonatkozó szakvélemény, illetve tanúsítvány elkészítését biztosító vállalkozási keretszerződés</w:t>
      </w:r>
      <w:r w:rsidR="00DF216E">
        <w:rPr>
          <w:b/>
          <w:i/>
        </w:rPr>
        <w:t xml:space="preserve">” </w:t>
      </w:r>
      <w:r w:rsidRPr="006164F1">
        <w:rPr>
          <w:sz w:val="22"/>
          <w:szCs w:val="22"/>
          <w:lang w:eastAsia="hu-HU"/>
        </w:rPr>
        <w:t>tárgyú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3DA2BB50" w:rsidR="004A1A77" w:rsidRPr="004A1A77" w:rsidRDefault="00023C92" w:rsidP="004A1A77">
      <w:pPr>
        <w:widowControl w:val="0"/>
        <w:jc w:val="right"/>
        <w:rPr>
          <w:i/>
          <w:sz w:val="22"/>
          <w:szCs w:val="22"/>
          <w:lang w:val="x-none" w:eastAsia="x-none"/>
        </w:rPr>
      </w:pPr>
      <w:bookmarkStart w:id="2" w:name="_Toc316895573"/>
      <w:bookmarkStart w:id="3" w:name="_Toc445284725"/>
      <w:r>
        <w:rPr>
          <w:i/>
          <w:sz w:val="22"/>
          <w:szCs w:val="22"/>
          <w:lang w:val="x-none" w:eastAsia="x-none"/>
        </w:rPr>
        <w:lastRenderedPageBreak/>
        <w:t>8</w:t>
      </w:r>
      <w:r w:rsidR="004A1A77" w:rsidRPr="004A1A77">
        <w:rPr>
          <w:i/>
          <w:sz w:val="22"/>
          <w:szCs w:val="22"/>
          <w:lang w:val="x-none" w:eastAsia="x-none"/>
        </w:rPr>
        <w:t>. számú melléklet</w:t>
      </w:r>
    </w:p>
    <w:p w14:paraId="17562997" w14:textId="77777777" w:rsidR="004A1A77" w:rsidRDefault="004A1A77" w:rsidP="004A1A77">
      <w:pPr>
        <w:widowControl w:val="0"/>
        <w:jc w:val="center"/>
        <w:rPr>
          <w:b/>
          <w:sz w:val="22"/>
          <w:szCs w:val="22"/>
          <w:lang w:val="x-none" w:eastAsia="x-none"/>
        </w:rPr>
      </w:pPr>
    </w:p>
    <w:p w14:paraId="61581C90" w14:textId="36B21384"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3"/>
      </w:r>
    </w:p>
    <w:p w14:paraId="68A3778E" w14:textId="2EC4CFFF" w:rsidR="004A1A77" w:rsidRPr="00852B3A" w:rsidRDefault="004A1A77" w:rsidP="004A1A77">
      <w:pPr>
        <w:widowControl w:val="0"/>
        <w:jc w:val="center"/>
        <w:rPr>
          <w:b/>
          <w:i/>
          <w:sz w:val="22"/>
          <w:szCs w:val="22"/>
          <w:lang w:eastAsia="x-none"/>
        </w:rPr>
      </w:pPr>
      <w:r w:rsidRPr="00852B3A">
        <w:rPr>
          <w:b/>
          <w:i/>
          <w:sz w:val="22"/>
          <w:szCs w:val="22"/>
          <w:lang w:eastAsia="x-none"/>
        </w:rPr>
        <w:t>(adott esetben)</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387F5115"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71567172"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00783C20">
        <w:rPr>
          <w:i/>
          <w:sz w:val="22"/>
          <w:szCs w:val="22"/>
        </w:rPr>
        <w:lastRenderedPageBreak/>
        <w:t>9</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2"/>
      <w:bookmarkEnd w:id="3"/>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 (név, székhely)  és</w:t>
      </w:r>
    </w:p>
    <w:p w14:paraId="5F1C9210" w14:textId="77777777" w:rsidR="004A1A77" w:rsidRPr="00241684" w:rsidRDefault="004A1A77" w:rsidP="004A1A77">
      <w:pPr>
        <w:adjustRightInd w:val="0"/>
        <w:rPr>
          <w:sz w:val="22"/>
          <w:szCs w:val="22"/>
        </w:rPr>
      </w:pPr>
      <w:r w:rsidRPr="00241684">
        <w:rPr>
          <w:sz w:val="22"/>
          <w:szCs w:val="22"/>
        </w:rPr>
        <w:t>…………………………………………………………….……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4"/>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A szerződés teljesítésének irányítására az alábbi megbízott személy(ek) kerül(nek) kijelölésre:</w:t>
      </w:r>
    </w:p>
    <w:p w14:paraId="59BAEEE6" w14:textId="77777777" w:rsidR="004A1A77" w:rsidRPr="00241684" w:rsidRDefault="004A1A77" w:rsidP="004A1A77">
      <w:pPr>
        <w:adjustRightInd w:val="0"/>
        <w:rPr>
          <w:sz w:val="22"/>
          <w:szCs w:val="22"/>
        </w:rPr>
      </w:pPr>
      <w:r w:rsidRPr="00241684">
        <w:rPr>
          <w:sz w:val="22"/>
          <w:szCs w:val="22"/>
        </w:rPr>
        <w:t>…………………………………………...…. (cégnév) részéről: ………………………………</w:t>
      </w:r>
    </w:p>
    <w:p w14:paraId="736BDF5E" w14:textId="77777777" w:rsidR="004A1A77" w:rsidRPr="00241684" w:rsidRDefault="004A1A77" w:rsidP="004A1A77">
      <w:pPr>
        <w:adjustRightInd w:val="0"/>
        <w:rPr>
          <w:sz w:val="22"/>
          <w:szCs w:val="22"/>
        </w:rPr>
      </w:pPr>
      <w:r w:rsidRPr="00241684">
        <w:rPr>
          <w:sz w:val="22"/>
          <w:szCs w:val="22"/>
        </w:rPr>
        <w:t>………………………………………………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375A4671" w:rsidR="007F5FCD" w:rsidRPr="006164F1" w:rsidRDefault="00783C20"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10</w:t>
      </w:r>
      <w:r w:rsidR="007F5FCD"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77777777" w:rsidR="007F5FCD" w:rsidRPr="006164F1"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64C08700" w:rsidR="007F5FCD" w:rsidRPr="006164F1" w:rsidRDefault="007F5FCD" w:rsidP="007F5FC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00783C20">
        <w:rPr>
          <w:rFonts w:eastAsia="Calibri"/>
          <w:sz w:val="22"/>
          <w:szCs w:val="22"/>
          <w:lang w:eastAsia="en-US" w:bidi="hu-HU"/>
        </w:rPr>
        <w:t xml:space="preserve">az </w:t>
      </w:r>
      <w:r w:rsidR="00783C20" w:rsidRPr="00783C20">
        <w:rPr>
          <w:rFonts w:eastAsia="Calibri"/>
          <w:sz w:val="22"/>
          <w:szCs w:val="22"/>
          <w:lang w:eastAsia="en-US" w:bidi="hu-HU"/>
        </w:rPr>
        <w:t>„</w:t>
      </w:r>
      <w:r w:rsidR="00783C20" w:rsidRPr="00783C20">
        <w:rPr>
          <w:b/>
          <w:i/>
          <w:sz w:val="22"/>
          <w:szCs w:val="22"/>
        </w:rPr>
        <w:t>A vasúti rendszerben üzemelő vontatójárművek villamos fogyasztásmérésének felülvizsgálatára, valamint az energiamérő rendszerére és a kapcsolódó informatikai rendszerekre vonatkozó szakvélemény, illetve tanúsítvány elkészítését biztosító vállalkozási keretszerződés”</w:t>
      </w:r>
      <w:r w:rsidR="00783C20">
        <w:rPr>
          <w:b/>
          <w:i/>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EE1D82">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5"/>
            </w:r>
          </w:p>
        </w:tc>
        <w:tc>
          <w:tcPr>
            <w:tcW w:w="3119" w:type="dxa"/>
          </w:tcPr>
          <w:p w14:paraId="1DD0D0AD" w14:textId="2B299DA6" w:rsidR="007F5FCD" w:rsidRDefault="007F5FCD" w:rsidP="00EE1D82">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EE1D82">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EE1D82">
            <w:pPr>
              <w:spacing w:line="360" w:lineRule="auto"/>
              <w:rPr>
                <w:color w:val="000000"/>
                <w:sz w:val="22"/>
                <w:szCs w:val="22"/>
              </w:rPr>
            </w:pPr>
          </w:p>
        </w:tc>
        <w:tc>
          <w:tcPr>
            <w:tcW w:w="3119" w:type="dxa"/>
          </w:tcPr>
          <w:p w14:paraId="79477096" w14:textId="77777777" w:rsidR="007F5FCD" w:rsidRPr="006164F1" w:rsidRDefault="007F5FCD" w:rsidP="00EE1D82">
            <w:pPr>
              <w:spacing w:line="360" w:lineRule="auto"/>
              <w:rPr>
                <w:color w:val="000000"/>
                <w:sz w:val="22"/>
                <w:szCs w:val="22"/>
              </w:rPr>
            </w:pPr>
          </w:p>
        </w:tc>
        <w:tc>
          <w:tcPr>
            <w:tcW w:w="2835" w:type="dxa"/>
          </w:tcPr>
          <w:p w14:paraId="39D3D57A" w14:textId="6EE24394" w:rsidR="007F5FCD" w:rsidRPr="006164F1" w:rsidRDefault="007F5FCD" w:rsidP="00EE1D82">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EE1D82">
            <w:pPr>
              <w:spacing w:line="360" w:lineRule="auto"/>
              <w:rPr>
                <w:color w:val="000000"/>
                <w:sz w:val="22"/>
                <w:szCs w:val="22"/>
              </w:rPr>
            </w:pPr>
          </w:p>
        </w:tc>
        <w:tc>
          <w:tcPr>
            <w:tcW w:w="3119" w:type="dxa"/>
          </w:tcPr>
          <w:p w14:paraId="3E616947" w14:textId="77777777" w:rsidR="007F5FCD" w:rsidRPr="006164F1" w:rsidRDefault="007F5FCD" w:rsidP="00EE1D82">
            <w:pPr>
              <w:spacing w:line="360" w:lineRule="auto"/>
              <w:rPr>
                <w:color w:val="000000"/>
                <w:sz w:val="22"/>
                <w:szCs w:val="22"/>
              </w:rPr>
            </w:pPr>
          </w:p>
        </w:tc>
        <w:tc>
          <w:tcPr>
            <w:tcW w:w="2835" w:type="dxa"/>
          </w:tcPr>
          <w:p w14:paraId="5CAAAD66" w14:textId="44B71304" w:rsidR="007F5FCD" w:rsidRPr="006164F1" w:rsidRDefault="007F5FCD" w:rsidP="00EE1D82">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0DAF29AB" w:rsidR="009B5181" w:rsidRPr="006164F1" w:rsidRDefault="00783C20"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11</w:t>
      </w:r>
      <w:r w:rsidR="009B5181"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60DB1BC0" w:rsidR="009B5181" w:rsidRDefault="009B5181" w:rsidP="009B5181">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a</w:t>
      </w:r>
      <w:r w:rsidR="00783C20">
        <w:rPr>
          <w:rFonts w:eastAsia="Calibri"/>
          <w:sz w:val="22"/>
          <w:szCs w:val="22"/>
          <w:lang w:eastAsia="en-US" w:bidi="hu-HU"/>
        </w:rPr>
        <w:t>z</w:t>
      </w:r>
      <w:r w:rsidRPr="006164F1">
        <w:rPr>
          <w:rFonts w:eastAsia="Calibri"/>
          <w:sz w:val="22"/>
          <w:szCs w:val="22"/>
          <w:lang w:eastAsia="en-US" w:bidi="hu-HU"/>
        </w:rPr>
        <w:t xml:space="preserve"> </w:t>
      </w:r>
      <w:r w:rsidR="00783C20" w:rsidRPr="00783C20">
        <w:rPr>
          <w:rFonts w:eastAsia="Calibri"/>
          <w:sz w:val="22"/>
          <w:szCs w:val="22"/>
          <w:lang w:eastAsia="en-US" w:bidi="hu-HU"/>
        </w:rPr>
        <w:t>„</w:t>
      </w:r>
      <w:r w:rsidR="00783C20" w:rsidRPr="00783C20">
        <w:rPr>
          <w:b/>
          <w:i/>
          <w:sz w:val="22"/>
          <w:szCs w:val="22"/>
        </w:rPr>
        <w:t>A vasúti rendszerben üzemelő vontatójárművek villamos fogyasztásmérésének felülvizsgálatára, valamint az energiamérő rendszerére és a kapcsolódó informatikai rendszerekre vonatkozó szakvélemény, illetve tanúsítvány elkészítését biztosító vállalkozási keretszerződés”</w:t>
      </w:r>
      <w:r w:rsidR="00783C20">
        <w:rPr>
          <w:b/>
          <w:i/>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r>
        <w:rPr>
          <w:color w:val="000000"/>
          <w:sz w:val="22"/>
          <w:szCs w:val="22"/>
        </w:rPr>
        <w:t>ka</w:t>
      </w:r>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6"/>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23F0D13" w14:textId="4C3348BA"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679D891" w14:textId="32F43BC8" w:rsidR="009B5181" w:rsidRDefault="009B5181" w:rsidP="009B5181">
      <w:pPr>
        <w:spacing w:line="360" w:lineRule="auto"/>
        <w:jc w:val="both"/>
        <w:rPr>
          <w:color w:val="000000"/>
        </w:rPr>
      </w:pPr>
      <w:r>
        <w:rPr>
          <w:color w:val="000000"/>
        </w:rPr>
        <w:t>VAGY</w:t>
      </w:r>
    </w:p>
    <w:p w14:paraId="5EA64504" w14:textId="77777777" w:rsidR="009B5181" w:rsidRPr="009B5181" w:rsidRDefault="009B5181" w:rsidP="009B5181">
      <w:pPr>
        <w:spacing w:line="360" w:lineRule="auto"/>
        <w:jc w:val="both"/>
        <w:rPr>
          <w:color w:val="000000"/>
        </w:rPr>
      </w:pPr>
    </w:p>
    <w:p w14:paraId="41D9BC5C" w14:textId="183BCC15"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58B3A793" w:rsidR="00DF7EDF" w:rsidRDefault="00783C20" w:rsidP="00DF7EDF">
      <w:pPr>
        <w:spacing w:after="120"/>
        <w:jc w:val="right"/>
        <w:rPr>
          <w:sz w:val="22"/>
          <w:szCs w:val="22"/>
        </w:rPr>
      </w:pPr>
      <w:r>
        <w:rPr>
          <w:sz w:val="22"/>
          <w:szCs w:val="22"/>
        </w:rPr>
        <w:lastRenderedPageBreak/>
        <w:t>12</w:t>
      </w:r>
      <w:r w:rsidR="00DF7EDF">
        <w:rPr>
          <w:sz w:val="22"/>
          <w:szCs w:val="22"/>
        </w:rPr>
        <w:t>. sz. melléklet</w:t>
      </w:r>
    </w:p>
    <w:p w14:paraId="1570488E" w14:textId="4D247595" w:rsidR="00DF7EDF" w:rsidRPr="00DF7EDF" w:rsidRDefault="00DF7EDF" w:rsidP="00DF7EDF">
      <w:pPr>
        <w:spacing w:after="120"/>
        <w:jc w:val="center"/>
        <w:rPr>
          <w:szCs w:val="24"/>
        </w:rPr>
      </w:pPr>
      <w:r w:rsidRPr="00DF7EDF">
        <w:rPr>
          <w:b/>
          <w:bCs/>
          <w:szCs w:val="24"/>
        </w:rPr>
        <w:t>Elektronikus-számla befogadás a MÁV-csoport vállalatainál</w:t>
      </w:r>
    </w:p>
    <w:p w14:paraId="0F9C3F2A" w14:textId="77777777" w:rsidR="00DF7EDF" w:rsidRPr="00DF7EDF" w:rsidRDefault="00DF7EDF" w:rsidP="00DF7EDF">
      <w:pPr>
        <w:pStyle w:val="Nincstrkz"/>
        <w:rPr>
          <w:rFonts w:ascii="Times New Roman" w:hAnsi="Times New Roman" w:cs="Times New Roman"/>
          <w:sz w:val="24"/>
          <w:szCs w:val="24"/>
        </w:rPr>
      </w:pPr>
    </w:p>
    <w:p w14:paraId="782FDDFC" w14:textId="77777777" w:rsidR="00DF7EDF" w:rsidRPr="00DF7EDF" w:rsidRDefault="00DF7EDF" w:rsidP="00DF7EDF">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5F64016F"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1A97E6F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14:paraId="5083DA22"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14:paraId="6D542CBB" w14:textId="77777777" w:rsidR="00DF7EDF" w:rsidRPr="00DF7EDF" w:rsidRDefault="003B2692" w:rsidP="00DF7EDF">
      <w:pPr>
        <w:pStyle w:val="Listaszerbekezds"/>
        <w:ind w:left="1418"/>
        <w:jc w:val="both"/>
        <w:rPr>
          <w:rFonts w:ascii="Times New Roman" w:hAnsi="Times New Roman"/>
          <w:sz w:val="24"/>
          <w:szCs w:val="24"/>
        </w:rPr>
      </w:pPr>
      <w:hyperlink r:id="rId9" w:history="1">
        <w:r w:rsidR="00DF7EDF" w:rsidRPr="00DF7EDF">
          <w:rPr>
            <w:rStyle w:val="Hiperhivatkozs"/>
            <w:rFonts w:ascii="Times New Roman" w:hAnsi="Times New Roman"/>
            <w:sz w:val="24"/>
            <w:szCs w:val="24"/>
          </w:rPr>
          <w:t>https://onlineszamla.nav.gov.hu/dokumentaciok</w:t>
        </w:r>
      </w:hyperlink>
      <w:r w:rsidR="00DF7EDF" w:rsidRPr="00DF7EDF">
        <w:rPr>
          <w:rFonts w:ascii="Times New Roman" w:hAnsi="Times New Roman"/>
          <w:sz w:val="24"/>
          <w:szCs w:val="24"/>
        </w:rPr>
        <w:t xml:space="preserve"> (az 1.1 és 2.0 verzió is megfelelő),</w:t>
      </w:r>
    </w:p>
    <w:p w14:paraId="5144EEBB"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5C874BE1" w14:textId="77777777" w:rsidR="00DF7EDF" w:rsidRPr="00DF7EDF" w:rsidRDefault="003B2692" w:rsidP="00DF7EDF">
      <w:pPr>
        <w:pStyle w:val="Listaszerbekezds"/>
        <w:ind w:left="1418"/>
        <w:jc w:val="both"/>
        <w:rPr>
          <w:rFonts w:ascii="Times New Roman" w:hAnsi="Times New Roman"/>
          <w:sz w:val="24"/>
          <w:szCs w:val="24"/>
        </w:rPr>
      </w:pPr>
      <w:hyperlink r:id="rId10" w:history="1">
        <w:r w:rsidR="00DF7EDF" w:rsidRPr="00DF7EDF">
          <w:rPr>
            <w:rStyle w:val="Hiperhivatkozs"/>
            <w:rFonts w:ascii="Times New Roman" w:hAnsi="Times New Roman"/>
            <w:sz w:val="24"/>
            <w:szCs w:val="24"/>
          </w:rPr>
          <w:t>https://nav.gov.hu/nav/archiv/adoinfo/afa/elektronikus_szamla.html</w:t>
        </w:r>
      </w:hyperlink>
      <w:r w:rsidR="00DF7EDF" w:rsidRPr="00DF7EDF">
        <w:rPr>
          <w:rFonts w:ascii="Times New Roman" w:hAnsi="Times New Roman"/>
          <w:sz w:val="24"/>
          <w:szCs w:val="24"/>
        </w:rPr>
        <w:t>,</w:t>
      </w:r>
    </w:p>
    <w:p w14:paraId="4D76EFAC"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14:paraId="66D579C4"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14:paraId="26AD3DB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5F24F2A3"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277D45A9"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1"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14:paraId="0BE63432"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196D26CD" w14:textId="77777777" w:rsidR="00DF7EDF" w:rsidRPr="00DF7EDF" w:rsidRDefault="00DF7EDF" w:rsidP="00CE475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14:paraId="0B7648A3" w14:textId="77777777" w:rsidR="00DF7EDF" w:rsidRPr="00DF7EDF" w:rsidRDefault="00DF7EDF" w:rsidP="00DF7EDF">
      <w:pPr>
        <w:pStyle w:val="Nincstrkz"/>
        <w:spacing w:after="120"/>
        <w:jc w:val="both"/>
        <w:rPr>
          <w:rFonts w:ascii="Times New Roman" w:hAnsi="Times New Roman" w:cs="Times New Roman"/>
          <w:sz w:val="24"/>
          <w:szCs w:val="24"/>
        </w:rPr>
      </w:pPr>
    </w:p>
    <w:p w14:paraId="53CD579A" w14:textId="77777777" w:rsidR="00DF7EDF" w:rsidRPr="00DF7EDF" w:rsidRDefault="00DF7EDF" w:rsidP="00DF7EDF">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2"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F7EDF" w:rsidRPr="00DF7EDF" w14:paraId="1A789D17" w14:textId="77777777" w:rsidTr="00EE1D82">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A6863E" w14:textId="77777777" w:rsidR="00DF7EDF" w:rsidRPr="00DF7EDF" w:rsidRDefault="00DF7EDF" w:rsidP="00EE1D82">
            <w:pPr>
              <w:spacing w:before="120" w:after="120"/>
              <w:jc w:val="center"/>
              <w:rPr>
                <w:b/>
                <w:bCs/>
                <w:szCs w:val="24"/>
              </w:rPr>
            </w:pPr>
            <w:r w:rsidRPr="00DF7EDF">
              <w:rPr>
                <w:b/>
                <w:bCs/>
                <w:szCs w:val="24"/>
              </w:rPr>
              <w:t>Számla kibocsátó szállító adatai</w:t>
            </w:r>
          </w:p>
        </w:tc>
      </w:tr>
      <w:tr w:rsidR="00DF7EDF" w:rsidRPr="00DF7EDF" w14:paraId="23055045" w14:textId="77777777" w:rsidTr="00EE1D82">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4769" w14:textId="77777777" w:rsidR="00DF7EDF" w:rsidRPr="00DF7EDF" w:rsidRDefault="00DF7EDF" w:rsidP="00EE1D82">
            <w:pPr>
              <w:spacing w:before="60" w:after="60"/>
              <w:rPr>
                <w:b/>
                <w:szCs w:val="24"/>
              </w:rPr>
            </w:pPr>
            <w:r w:rsidRPr="00DF7EDF">
              <w:rPr>
                <w:b/>
                <w:szCs w:val="24"/>
              </w:rPr>
              <w:t>Kibocsátó neve:</w:t>
            </w:r>
          </w:p>
          <w:p w14:paraId="50D348A2" w14:textId="77777777" w:rsidR="00DF7EDF" w:rsidRPr="00DF7EDF" w:rsidRDefault="00DF7EDF" w:rsidP="00EE1D82">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3F40" w14:textId="77777777" w:rsidR="00DF7EDF" w:rsidRPr="00DF7EDF" w:rsidRDefault="00DF7EDF" w:rsidP="00EE1D82">
            <w:pPr>
              <w:spacing w:before="60" w:after="60"/>
              <w:rPr>
                <w:szCs w:val="24"/>
              </w:rPr>
            </w:pPr>
          </w:p>
        </w:tc>
      </w:tr>
      <w:tr w:rsidR="00DF7EDF" w:rsidRPr="00DF7EDF" w14:paraId="40D84EBB" w14:textId="77777777" w:rsidTr="00EE1D82">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2EA0" w14:textId="77777777" w:rsidR="00DF7EDF" w:rsidRPr="00DF7EDF" w:rsidRDefault="00DF7EDF" w:rsidP="00EE1D82">
            <w:pPr>
              <w:spacing w:before="60" w:after="60"/>
              <w:rPr>
                <w:b/>
                <w:szCs w:val="24"/>
              </w:rPr>
            </w:pPr>
            <w:r w:rsidRPr="00DF7EDF">
              <w:rPr>
                <w:b/>
                <w:szCs w:val="24"/>
              </w:rPr>
              <w:t>Adószáma:</w:t>
            </w:r>
          </w:p>
          <w:p w14:paraId="7C3A7581" w14:textId="77777777" w:rsidR="00DF7EDF" w:rsidRPr="00DF7EDF" w:rsidRDefault="00DF7EDF" w:rsidP="00EE1D82">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DDB5" w14:textId="77777777" w:rsidR="00DF7EDF" w:rsidRPr="00DF7EDF" w:rsidRDefault="00DF7EDF" w:rsidP="00EE1D82">
            <w:pPr>
              <w:spacing w:before="60" w:after="60"/>
              <w:rPr>
                <w:szCs w:val="24"/>
              </w:rPr>
            </w:pPr>
          </w:p>
        </w:tc>
      </w:tr>
      <w:tr w:rsidR="00DF7EDF" w:rsidRPr="00DF7EDF" w14:paraId="24761E92" w14:textId="77777777" w:rsidTr="00EE1D82">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3DF1" w14:textId="77777777" w:rsidR="00DF7EDF" w:rsidRPr="00DF7EDF" w:rsidRDefault="00DF7EDF" w:rsidP="00EE1D82">
            <w:pPr>
              <w:spacing w:before="60" w:after="60"/>
              <w:rPr>
                <w:b/>
                <w:szCs w:val="24"/>
              </w:rPr>
            </w:pPr>
            <w:r w:rsidRPr="00DF7EDF">
              <w:rPr>
                <w:b/>
                <w:szCs w:val="24"/>
              </w:rPr>
              <w:t>Kapcsolattartó neve:</w:t>
            </w:r>
          </w:p>
          <w:p w14:paraId="58C21081" w14:textId="77777777" w:rsidR="00DF7EDF" w:rsidRPr="00DF7EDF" w:rsidRDefault="00DF7EDF" w:rsidP="00EE1D82">
            <w:pPr>
              <w:spacing w:before="60" w:after="60"/>
              <w:jc w:val="both"/>
              <w:rPr>
                <w:szCs w:val="24"/>
              </w:rPr>
            </w:pPr>
            <w:r w:rsidRPr="00DF7EDF">
              <w:rPr>
                <w:szCs w:val="24"/>
              </w:rPr>
              <w:lastRenderedPageBreak/>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096B" w14:textId="77777777" w:rsidR="00DF7EDF" w:rsidRPr="00DF7EDF" w:rsidRDefault="00DF7EDF" w:rsidP="00EE1D82">
            <w:pPr>
              <w:spacing w:before="60" w:after="60"/>
              <w:rPr>
                <w:szCs w:val="24"/>
              </w:rPr>
            </w:pPr>
          </w:p>
        </w:tc>
      </w:tr>
      <w:tr w:rsidR="00DF7EDF" w:rsidRPr="00DF7EDF" w14:paraId="27DE5145" w14:textId="77777777" w:rsidTr="00EE1D82">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9291" w14:textId="77777777" w:rsidR="00DF7EDF" w:rsidRPr="00DF7EDF" w:rsidRDefault="00DF7EDF" w:rsidP="00EE1D82">
            <w:pPr>
              <w:spacing w:before="60" w:after="60"/>
              <w:rPr>
                <w:b/>
                <w:szCs w:val="24"/>
              </w:rPr>
            </w:pPr>
            <w:r w:rsidRPr="00DF7EDF">
              <w:rPr>
                <w:b/>
                <w:szCs w:val="24"/>
              </w:rPr>
              <w:t>Kapcsolattartó telefonszáma:</w:t>
            </w:r>
          </w:p>
          <w:p w14:paraId="5326A21C" w14:textId="77777777" w:rsidR="00DF7EDF" w:rsidRPr="00DF7EDF" w:rsidRDefault="00DF7EDF" w:rsidP="00EE1D82">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F96C" w14:textId="77777777" w:rsidR="00DF7EDF" w:rsidRPr="00DF7EDF" w:rsidRDefault="00DF7EDF" w:rsidP="00EE1D82">
            <w:pPr>
              <w:spacing w:before="60" w:after="60"/>
              <w:rPr>
                <w:szCs w:val="24"/>
              </w:rPr>
            </w:pPr>
          </w:p>
        </w:tc>
      </w:tr>
      <w:tr w:rsidR="00DF7EDF" w:rsidRPr="00DF7EDF" w14:paraId="49DBCA8D" w14:textId="77777777" w:rsidTr="00EE1D82">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7DEA" w14:textId="77777777" w:rsidR="00DF7EDF" w:rsidRPr="00DF7EDF" w:rsidRDefault="00DF7EDF" w:rsidP="00EE1D82">
            <w:pPr>
              <w:spacing w:before="60" w:after="60"/>
              <w:rPr>
                <w:b/>
                <w:szCs w:val="24"/>
              </w:rPr>
            </w:pPr>
            <w:r w:rsidRPr="00DF7EDF">
              <w:rPr>
                <w:b/>
                <w:szCs w:val="24"/>
              </w:rPr>
              <w:t>Kapcsolattartó e-mail címe:</w:t>
            </w:r>
          </w:p>
          <w:p w14:paraId="3D4B362D" w14:textId="77777777" w:rsidR="00DF7EDF" w:rsidRPr="00DF7EDF" w:rsidRDefault="00DF7EDF" w:rsidP="00EE1D82">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30B8" w14:textId="77777777" w:rsidR="00DF7EDF" w:rsidRPr="00DF7EDF" w:rsidRDefault="00DF7EDF" w:rsidP="00EE1D82">
            <w:pPr>
              <w:spacing w:before="60" w:after="60"/>
              <w:rPr>
                <w:szCs w:val="24"/>
              </w:rPr>
            </w:pPr>
          </w:p>
        </w:tc>
      </w:tr>
    </w:tbl>
    <w:p w14:paraId="0FF6568C" w14:textId="77777777" w:rsidR="00DF7EDF" w:rsidRPr="00DF7EDF" w:rsidRDefault="00DF7EDF" w:rsidP="00DF7EDF">
      <w:pPr>
        <w:pStyle w:val="Nincstrkz"/>
        <w:spacing w:after="120"/>
        <w:jc w:val="both"/>
        <w:rPr>
          <w:rFonts w:ascii="Times New Roman" w:hAnsi="Times New Roman" w:cs="Times New Roman"/>
          <w:sz w:val="24"/>
          <w:szCs w:val="24"/>
        </w:rPr>
      </w:pPr>
    </w:p>
    <w:p w14:paraId="7862EBBC" w14:textId="77777777" w:rsidR="00DF7EDF" w:rsidRPr="00DF7EDF" w:rsidRDefault="00DF7EDF" w:rsidP="00DF7EDF">
      <w:pPr>
        <w:rPr>
          <w:szCs w:val="24"/>
        </w:rPr>
      </w:pPr>
      <w:r w:rsidRPr="00DF7EDF">
        <w:rPr>
          <w:szCs w:val="24"/>
        </w:rPr>
        <w:t xml:space="preserve">További tájékoztatás, egyeztetés az </w:t>
      </w:r>
      <w:hyperlink r:id="rId13" w:history="1">
        <w:r w:rsidRPr="00DF7EDF">
          <w:rPr>
            <w:rStyle w:val="Hiperhivatkozs"/>
            <w:szCs w:val="24"/>
          </w:rPr>
          <w:t>eszamla-info@mav.hu</w:t>
        </w:r>
      </w:hyperlink>
      <w:r w:rsidRPr="00DF7EDF">
        <w:rPr>
          <w:szCs w:val="24"/>
        </w:rPr>
        <w:t xml:space="preserve"> e-mail címen kérhető.</w:t>
      </w:r>
    </w:p>
    <w:p w14:paraId="05FA71F4" w14:textId="77777777" w:rsidR="00DF7EDF" w:rsidRPr="00DF7EDF" w:rsidRDefault="00DF7EDF"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14"/>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C98E" w14:textId="77777777" w:rsidR="00857E6A" w:rsidRDefault="00857E6A">
      <w:r>
        <w:separator/>
      </w:r>
    </w:p>
  </w:endnote>
  <w:endnote w:type="continuationSeparator" w:id="0">
    <w:p w14:paraId="24DBBC50" w14:textId="77777777" w:rsidR="00857E6A" w:rsidRDefault="0085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Mangal">
    <w:panose1 w:val="00000400000000000000"/>
    <w:charset w:val="00"/>
    <w:family w:val="roman"/>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5EC0" w14:textId="04E01838" w:rsidR="004324A5" w:rsidRDefault="004324A5"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3B2692">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3B2692">
      <w:rPr>
        <w:rStyle w:val="Oldalszm"/>
        <w:noProof/>
        <w:sz w:val="20"/>
      </w:rPr>
      <w:t>16</w:t>
    </w:r>
    <w:r>
      <w:rPr>
        <w:rStyle w:val="Oldalszm"/>
        <w:sz w:val="20"/>
      </w:rPr>
      <w:fldChar w:fldCharType="end"/>
    </w:r>
  </w:p>
  <w:p w14:paraId="326DF9AA" w14:textId="7751D7E0" w:rsidR="004324A5" w:rsidRPr="00EE1D82" w:rsidRDefault="004324A5" w:rsidP="00E6001E">
    <w:pPr>
      <w:pStyle w:val="llb"/>
      <w:rPr>
        <w:rStyle w:val="Oldalszm"/>
        <w:sz w:val="18"/>
        <w:szCs w:val="18"/>
      </w:rPr>
    </w:pPr>
    <w:r w:rsidRPr="00EE1D82">
      <w:rPr>
        <w:rStyle w:val="Oldalszm"/>
        <w:sz w:val="18"/>
        <w:szCs w:val="18"/>
      </w:rPr>
      <w:t>Az eljárás tárgya: A vasúti rendszerben üzemelő vontatójárművek villamos fogyasztásmérésének felülvizsgálatára, valamint az energiamérő rendszerére és a kapcsolódó informatikai rendszerekre vonatkozó szakvélemény, illetve tanúsítvány elkészítését biztosító vállalkozási keretszerződés</w:t>
    </w:r>
  </w:p>
  <w:p w14:paraId="400FC9CC" w14:textId="6805244E" w:rsidR="004324A5" w:rsidRPr="00F508D7" w:rsidRDefault="004324A5" w:rsidP="00E6001E">
    <w:pPr>
      <w:pStyle w:val="llb"/>
      <w:rPr>
        <w:rStyle w:val="Oldalszm"/>
        <w:sz w:val="18"/>
        <w:szCs w:val="18"/>
      </w:rPr>
    </w:pPr>
    <w:r w:rsidRPr="00EE1D82">
      <w:rPr>
        <w:rStyle w:val="Oldalszm"/>
        <w:sz w:val="18"/>
        <w:szCs w:val="18"/>
      </w:rPr>
      <w:t>Ügyintéző: Tóth Balázs István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650EC" w14:textId="77777777" w:rsidR="00857E6A" w:rsidRDefault="00857E6A">
      <w:r>
        <w:separator/>
      </w:r>
    </w:p>
  </w:footnote>
  <w:footnote w:type="continuationSeparator" w:id="0">
    <w:p w14:paraId="0B0E62F9" w14:textId="77777777" w:rsidR="00857E6A" w:rsidRDefault="00857E6A">
      <w:r>
        <w:continuationSeparator/>
      </w:r>
    </w:p>
  </w:footnote>
  <w:footnote w:id="1">
    <w:p w14:paraId="17E58C8B" w14:textId="77777777" w:rsidR="004324A5" w:rsidRPr="00113C39" w:rsidRDefault="004324A5"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14:paraId="5C4D8098" w14:textId="77777777" w:rsidR="004324A5" w:rsidRPr="008F2F29" w:rsidRDefault="004324A5"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14:paraId="36EF7539" w14:textId="77777777" w:rsidR="004324A5" w:rsidRDefault="004324A5"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14:paraId="52A4DA3E" w14:textId="77777777" w:rsidR="004324A5" w:rsidRDefault="004324A5"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5">
    <w:p w14:paraId="77B11771" w14:textId="2CE230A4" w:rsidR="004324A5" w:rsidRDefault="004324A5">
      <w:pPr>
        <w:pStyle w:val="Lbjegyzetszveg"/>
      </w:pPr>
      <w:r>
        <w:rPr>
          <w:rStyle w:val="Lbjegyzet-hivatkozs"/>
        </w:rPr>
        <w:footnoteRef/>
      </w:r>
      <w:r>
        <w:t xml:space="preserve"> Megfelelő aláhúzandó!</w:t>
      </w:r>
    </w:p>
  </w:footnote>
  <w:footnote w:id="6">
    <w:p w14:paraId="646A0B29" w14:textId="1C3F4D34" w:rsidR="004324A5" w:rsidRDefault="004324A5">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4324A5" w:rsidRPr="00A475F2" w:rsidRDefault="004324A5"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5"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04132DD"/>
    <w:multiLevelType w:val="hybridMultilevel"/>
    <w:tmpl w:val="E7A2B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5964B97"/>
    <w:multiLevelType w:val="hybridMultilevel"/>
    <w:tmpl w:val="6B3666D0"/>
    <w:lvl w:ilvl="0" w:tplc="040E0001">
      <w:start w:val="1"/>
      <w:numFmt w:val="bullet"/>
      <w:lvlText w:val=""/>
      <w:lvlJc w:val="left"/>
      <w:pPr>
        <w:ind w:left="1512" w:hanging="360"/>
      </w:pPr>
      <w:rPr>
        <w:rFonts w:ascii="Symbol" w:hAnsi="Symbol"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9"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37D3BE4"/>
    <w:multiLevelType w:val="hybridMultilevel"/>
    <w:tmpl w:val="92D214F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700D13"/>
    <w:multiLevelType w:val="hybridMultilevel"/>
    <w:tmpl w:val="6930F1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22"/>
  </w:num>
  <w:num w:numId="6">
    <w:abstractNumId w:val="31"/>
  </w:num>
  <w:num w:numId="7">
    <w:abstractNumId w:val="34"/>
  </w:num>
  <w:num w:numId="8">
    <w:abstractNumId w:val="20"/>
  </w:num>
  <w:num w:numId="9">
    <w:abstractNumId w:val="19"/>
  </w:num>
  <w:num w:numId="10">
    <w:abstractNumId w:val="23"/>
  </w:num>
  <w:num w:numId="11">
    <w:abstractNumId w:val="33"/>
  </w:num>
  <w:num w:numId="12">
    <w:abstractNumId w:val="21"/>
  </w:num>
  <w:num w:numId="13">
    <w:abstractNumId w:val="25"/>
  </w:num>
  <w:num w:numId="14">
    <w:abstractNumId w:val="29"/>
  </w:num>
  <w:num w:numId="15">
    <w:abstractNumId w:val="24"/>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5"/>
  </w:num>
  <w:num w:numId="25">
    <w:abstractNumId w:val="28"/>
  </w:num>
  <w:num w:numId="2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313F"/>
    <w:rsid w:val="00023C92"/>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1E3B"/>
    <w:rsid w:val="001F586C"/>
    <w:rsid w:val="001F670A"/>
    <w:rsid w:val="001F7651"/>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240"/>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625"/>
    <w:rsid w:val="002A3A47"/>
    <w:rsid w:val="002A6126"/>
    <w:rsid w:val="002A66CC"/>
    <w:rsid w:val="002B1DE1"/>
    <w:rsid w:val="002B34EA"/>
    <w:rsid w:val="002B378F"/>
    <w:rsid w:val="002C0EE3"/>
    <w:rsid w:val="002C452A"/>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2282A"/>
    <w:rsid w:val="00322CF3"/>
    <w:rsid w:val="00323C74"/>
    <w:rsid w:val="00323C7D"/>
    <w:rsid w:val="00326DC3"/>
    <w:rsid w:val="00326F17"/>
    <w:rsid w:val="00332858"/>
    <w:rsid w:val="00332F84"/>
    <w:rsid w:val="00336252"/>
    <w:rsid w:val="003366B5"/>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2692"/>
    <w:rsid w:val="003B5427"/>
    <w:rsid w:val="003B6795"/>
    <w:rsid w:val="003B7B1C"/>
    <w:rsid w:val="003C5BA5"/>
    <w:rsid w:val="003C5C8F"/>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1197A"/>
    <w:rsid w:val="00421EFE"/>
    <w:rsid w:val="004237FC"/>
    <w:rsid w:val="00424D20"/>
    <w:rsid w:val="00427C7F"/>
    <w:rsid w:val="00430830"/>
    <w:rsid w:val="0043175A"/>
    <w:rsid w:val="004319D4"/>
    <w:rsid w:val="004321AF"/>
    <w:rsid w:val="004324A5"/>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1B91"/>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66F"/>
    <w:rsid w:val="00526747"/>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02F"/>
    <w:rsid w:val="00681C9D"/>
    <w:rsid w:val="00683571"/>
    <w:rsid w:val="0068385D"/>
    <w:rsid w:val="00683D3F"/>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299D"/>
    <w:rsid w:val="00763F31"/>
    <w:rsid w:val="007665E7"/>
    <w:rsid w:val="00770EC4"/>
    <w:rsid w:val="007716D9"/>
    <w:rsid w:val="0077177C"/>
    <w:rsid w:val="00772DFF"/>
    <w:rsid w:val="0078169A"/>
    <w:rsid w:val="00782FF6"/>
    <w:rsid w:val="00783C20"/>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1106"/>
    <w:rsid w:val="007B1370"/>
    <w:rsid w:val="007B1B6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7E6A"/>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1478"/>
    <w:rsid w:val="008B215A"/>
    <w:rsid w:val="008B2879"/>
    <w:rsid w:val="008B32D8"/>
    <w:rsid w:val="008B3737"/>
    <w:rsid w:val="008B6E5E"/>
    <w:rsid w:val="008C0FF5"/>
    <w:rsid w:val="008C1464"/>
    <w:rsid w:val="008C40C6"/>
    <w:rsid w:val="008C6444"/>
    <w:rsid w:val="008C74BD"/>
    <w:rsid w:val="008C7AAA"/>
    <w:rsid w:val="008D00FD"/>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0F"/>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748C"/>
    <w:rsid w:val="00A408CA"/>
    <w:rsid w:val="00A40D2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3DAC"/>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3B85"/>
    <w:rsid w:val="00BE4195"/>
    <w:rsid w:val="00BF2BB2"/>
    <w:rsid w:val="00BF624E"/>
    <w:rsid w:val="00BF762B"/>
    <w:rsid w:val="00C00471"/>
    <w:rsid w:val="00C0267D"/>
    <w:rsid w:val="00C055CB"/>
    <w:rsid w:val="00C0785C"/>
    <w:rsid w:val="00C100DB"/>
    <w:rsid w:val="00C107DD"/>
    <w:rsid w:val="00C110EB"/>
    <w:rsid w:val="00C11D10"/>
    <w:rsid w:val="00C14C16"/>
    <w:rsid w:val="00C15408"/>
    <w:rsid w:val="00C17922"/>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8C1"/>
    <w:rsid w:val="00C75EE8"/>
    <w:rsid w:val="00C77480"/>
    <w:rsid w:val="00C829E0"/>
    <w:rsid w:val="00C84633"/>
    <w:rsid w:val="00C85ED0"/>
    <w:rsid w:val="00C86AB7"/>
    <w:rsid w:val="00C8784E"/>
    <w:rsid w:val="00C87EDD"/>
    <w:rsid w:val="00C903B7"/>
    <w:rsid w:val="00C90FE1"/>
    <w:rsid w:val="00C921BF"/>
    <w:rsid w:val="00C966D1"/>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8D0"/>
    <w:rsid w:val="00CC7F5F"/>
    <w:rsid w:val="00CD2258"/>
    <w:rsid w:val="00CD257E"/>
    <w:rsid w:val="00CD3933"/>
    <w:rsid w:val="00CD6F7B"/>
    <w:rsid w:val="00CD73AC"/>
    <w:rsid w:val="00CE4758"/>
    <w:rsid w:val="00CE48D5"/>
    <w:rsid w:val="00CE5211"/>
    <w:rsid w:val="00CE6912"/>
    <w:rsid w:val="00CF1FCE"/>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5813"/>
    <w:rsid w:val="00D16DB5"/>
    <w:rsid w:val="00D22FDD"/>
    <w:rsid w:val="00D30252"/>
    <w:rsid w:val="00D30DEF"/>
    <w:rsid w:val="00D30E0D"/>
    <w:rsid w:val="00D34942"/>
    <w:rsid w:val="00D35564"/>
    <w:rsid w:val="00D36FBE"/>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85331"/>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216E"/>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6001E"/>
    <w:rsid w:val="00E6033C"/>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1D82"/>
    <w:rsid w:val="00EE235A"/>
    <w:rsid w:val="00EE658E"/>
    <w:rsid w:val="00EE6E78"/>
    <w:rsid w:val="00EF23E4"/>
    <w:rsid w:val="00EF299D"/>
    <w:rsid w:val="00EF2F9D"/>
    <w:rsid w:val="00EF2FF1"/>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customStyle="1" w:styleId="Normal2">
    <w:name w:val="Normal2"/>
    <w:basedOn w:val="Norml"/>
    <w:rsid w:val="008B1478"/>
    <w:pPr>
      <w:suppressAutoHyphens w:val="0"/>
      <w:overflowPunct/>
      <w:autoSpaceDN w:val="0"/>
      <w:spacing w:before="120" w:line="360" w:lineRule="auto"/>
      <w:jc w:val="both"/>
      <w:textAlignment w:val="auto"/>
    </w:pPr>
    <w:rPr>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szamla-info@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v.gov.hu/nav/archiv/adoinfo/afa/elektronikus_szamla.html" TargetMode="External"/><Relationship Id="rId4" Type="http://schemas.openxmlformats.org/officeDocument/2006/relationships/settings" Target="settings.xml"/><Relationship Id="rId9" Type="http://schemas.openxmlformats.org/officeDocument/2006/relationships/hyperlink" Target="https://onlineszamla.nav.gov.hu/dokumentaciok"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1C508-CE7F-4F62-A955-2B512BD4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3082</Words>
  <Characters>21266</Characters>
  <Application>Microsoft Office Word</Application>
  <DocSecurity>0</DocSecurity>
  <Lines>177</Lines>
  <Paragraphs>48</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24300</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2</cp:revision>
  <cp:lastPrinted>2018-02-19T12:14:00Z</cp:lastPrinted>
  <dcterms:created xsi:type="dcterms:W3CDTF">2020-12-02T10:46:00Z</dcterms:created>
  <dcterms:modified xsi:type="dcterms:W3CDTF">2020-12-02T10:46:00Z</dcterms:modified>
</cp:coreProperties>
</file>