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2" w:rsidRPr="003035E5" w:rsidRDefault="00BC6302" w:rsidP="00BC6302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24"/>
        </w:rPr>
      </w:pPr>
      <w:r w:rsidRPr="003035E5">
        <w:rPr>
          <w:rFonts w:ascii="Times New Roman" w:hAnsi="Times New Roman" w:cs="Times New Roman"/>
          <w:b/>
          <w:sz w:val="24"/>
        </w:rPr>
        <w:t>sz. melléklet</w:t>
      </w:r>
    </w:p>
    <w:p w:rsidR="00BC6302" w:rsidRDefault="00BC6302" w:rsidP="00BC6302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C6302" w:rsidRDefault="00BC6302" w:rsidP="00BC630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C6302" w:rsidRPr="0086637A" w:rsidRDefault="00BC6302" w:rsidP="00BC6302">
      <w:pPr>
        <w:pStyle w:val="Cm"/>
        <w:rPr>
          <w:rFonts w:ascii="Times New Roman" w:hAnsi="Times New Roman"/>
          <w:color w:val="000000" w:themeColor="text1"/>
          <w:sz w:val="28"/>
          <w:szCs w:val="28"/>
          <w:lang w:eastAsia="hu-HU"/>
        </w:rPr>
      </w:pPr>
      <w:r w:rsidRPr="0086637A">
        <w:rPr>
          <w:rFonts w:ascii="Times New Roman" w:hAnsi="Times New Roman"/>
          <w:color w:val="000000" w:themeColor="text1"/>
          <w:sz w:val="28"/>
          <w:szCs w:val="28"/>
          <w:lang w:eastAsia="hu-HU"/>
        </w:rPr>
        <w:t>Valós idejű utas-ismeretterjeszt</w:t>
      </w:r>
      <w:r>
        <w:rPr>
          <w:rFonts w:ascii="Times New Roman" w:hAnsi="Times New Roman"/>
          <w:color w:val="000000" w:themeColor="text1"/>
          <w:sz w:val="28"/>
          <w:szCs w:val="28"/>
          <w:lang w:eastAsia="hu-HU"/>
        </w:rPr>
        <w:t>ő</w:t>
      </w:r>
      <w:r w:rsidRPr="0086637A">
        <w:rPr>
          <w:rFonts w:ascii="Times New Roman" w:hAnsi="Times New Roman"/>
          <w:color w:val="000000" w:themeColor="text1"/>
          <w:sz w:val="28"/>
          <w:szCs w:val="28"/>
          <w:lang w:eastAsia="hu-HU"/>
        </w:rPr>
        <w:t xml:space="preserve"> kijelzők építése Monor állomáson</w:t>
      </w:r>
      <w:r w:rsidRPr="0086637A">
        <w:rPr>
          <w:rFonts w:ascii="Times New Roman" w:hAnsi="Times New Roman"/>
          <w:color w:val="000000" w:themeColor="text1"/>
          <w:sz w:val="28"/>
          <w:szCs w:val="28"/>
          <w:lang w:eastAsia="hu-HU"/>
        </w:rPr>
        <w:tab/>
      </w:r>
    </w:p>
    <w:p w:rsidR="00BC6302" w:rsidRPr="005C09A0" w:rsidRDefault="00BC6302" w:rsidP="00BC6302">
      <w:pPr>
        <w:pStyle w:val="Cm"/>
        <w:rPr>
          <w:rFonts w:ascii="Times New Roman" w:hAnsi="Times New Roman"/>
          <w:color w:val="000000" w:themeColor="text1"/>
          <w:sz w:val="28"/>
          <w:szCs w:val="28"/>
          <w:lang w:eastAsia="hu-HU"/>
        </w:rPr>
      </w:pPr>
      <w:r w:rsidRPr="005C09A0">
        <w:rPr>
          <w:rFonts w:ascii="Times New Roman" w:hAnsi="Times New Roman"/>
          <w:color w:val="000000" w:themeColor="text1"/>
          <w:sz w:val="28"/>
          <w:szCs w:val="28"/>
          <w:lang w:eastAsia="hu-HU"/>
        </w:rPr>
        <w:t>Műszaki leírás</w:t>
      </w:r>
    </w:p>
    <w:p w:rsidR="00BC6302" w:rsidRPr="005C09A0" w:rsidRDefault="00BC6302" w:rsidP="00BC630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helyszín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új berendezéseknek a MÁV helyi IP LAN hálózatán keresztül kell csatlakozni, ezért a helyi adatátviteli hálózat bővítését tervezni és kivitelezni kell. Az új utastájékoztató berendezések órajelének szinkronizálását a MÁV IP hálózaton keresztül kel kialakítani. A vizuális berendezések eléréséhez, amennyiben a </w:t>
      </w:r>
      <w:proofErr w:type="gram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távolság</w:t>
      </w:r>
      <w:proofErr w:type="gram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ill. az alkalmazott műszaki megoldás szükségessé teszi,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Fve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1x12 szálas optikai kábel (bevezetési engedéllyel rendelkező legkisebb szálszám miatt) telepítése szükséges.</w:t>
      </w:r>
    </w:p>
    <w:p w:rsidR="00BC6302" w:rsidRPr="005C09A0" w:rsidRDefault="00BC6302" w:rsidP="00BC63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Funkcionális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elvárások</w:t>
      </w:r>
    </w:p>
    <w:p w:rsidR="00BC6302" w:rsidRPr="005D6741" w:rsidRDefault="00BC6302" w:rsidP="00BC6302">
      <w:pPr>
        <w:pStyle w:val="Listaszerbekezds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újonnan telepítésre kerülő utastájékoztató rendszer aktív elemeit (beleértve a kijelzőket) a távoli menedzselhetőség érdekében a meglévő, </w:t>
      </w:r>
      <w:proofErr w:type="spellStart"/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t>Bp</w:t>
      </w:r>
      <w:proofErr w:type="spellEnd"/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-i </w:t>
      </w:r>
      <w:proofErr w:type="spellStart"/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proofErr w:type="spellEnd"/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eszközkezelő szerverbe kell integrálni, az elemek menedzsmentjéhez való hozzáférést az üzemeltető Távközlési Főnökség részére kell biztosítani.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 hangosbemondás indításához és a vizuális kijelzők vezérléséhez fel kell használni a 4. sz. Melléklet tényadat és késési adat közlését, tehát az 1. sz. Mellékletben előírt kijelzési követelmények a menetrendtől eltérő közlekedés esetén az UTAS tényadat vezérléséből kell figyelembe venni – beleértve a vizuális kijelzés törlését is.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Az új rendszer számára előírt követelmények tesztelési lehetőségét a MÁV forgalmi szolgálat számára biztosítani szükséges az üzembe helyezendő kezelő berendezés, továbbá legalább egy darab 42”-os TFT monitor és a hangosbemondás visszahallgatás lehetőségével. Az ideiglenes, tesztidőszakra biztosított tesztelő berendezések elhelyezésének helyszínét az állomásfőnökség fogja megadni.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vezérlőgéphez szükséges törzsadatok karbantartását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állomásfőnöki irodában telepítendő, PIS-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hez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csatlakozó PC-ről kérjük lehetővé tenni. Amennyiben más, a célnak megfelelő megoldás lehetséges, akkor azt kérjük a Forgalmi igazgatósággal egyeztetni.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Az új rendszer átvételéig a jelenleg működő hangos utastájékoztatást fenn kell tartani, az átállást az új rendszerre az állomásfőnökséggel kell egyeztetni.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Az új rendszer hangos és vizuális utastájékoztatás kezelő felület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ének megjelenítéséhez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db min. 42” (min.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FullHd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) monitor szükséges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melynek alkalmasnak kell lennie, a hangosbemondás és a vizuális kijelzők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monitorozására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is.</w:t>
      </w:r>
    </w:p>
    <w:p w:rsidR="00BC6302" w:rsidRPr="005C09A0" w:rsidRDefault="00BC6302" w:rsidP="00BC6302">
      <w:pPr>
        <w:pStyle w:val="Szvegtrzsbehzssal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9A0">
        <w:rPr>
          <w:rFonts w:ascii="Times New Roman" w:hAnsi="Times New Roman" w:cs="Times New Roman"/>
          <w:sz w:val="24"/>
          <w:szCs w:val="24"/>
        </w:rPr>
        <w:lastRenderedPageBreak/>
        <w:t>Havária</w:t>
      </w:r>
      <w:proofErr w:type="spellEnd"/>
      <w:r w:rsidRPr="005C09A0">
        <w:rPr>
          <w:rFonts w:ascii="Times New Roman" w:hAnsi="Times New Roman" w:cs="Times New Roman"/>
          <w:sz w:val="24"/>
          <w:szCs w:val="24"/>
        </w:rPr>
        <w:t>:</w:t>
      </w:r>
    </w:p>
    <w:p w:rsidR="00BC6302" w:rsidRPr="005C09A0" w:rsidRDefault="00BC6302" w:rsidP="00BC6302">
      <w:pPr>
        <w:pStyle w:val="Szvegtrzsbehzssal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9A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C09A0">
        <w:rPr>
          <w:rFonts w:ascii="Times New Roman" w:hAnsi="Times New Roman" w:cs="Times New Roman"/>
          <w:sz w:val="24"/>
          <w:szCs w:val="24"/>
        </w:rPr>
        <w:t>havária</w:t>
      </w:r>
      <w:proofErr w:type="spellEnd"/>
      <w:r w:rsidRPr="005C09A0">
        <w:rPr>
          <w:rFonts w:ascii="Times New Roman" w:hAnsi="Times New Roman" w:cs="Times New Roman"/>
          <w:sz w:val="24"/>
          <w:szCs w:val="24"/>
        </w:rPr>
        <w:t xml:space="preserve"> és vágányzári információk bevitelére az UTAS rendszer áll rendelkezésre, ezért (megfelelő szakszolgálati leszabályozás mellett) az ott bevitt akár vonatszám, akár vonatszámtól független, de az adott állomást vagy vasútvonalakat érintő információkat a PIS rendszernek át kell vennie és a megfelelő </w:t>
      </w:r>
      <w:proofErr w:type="gramStart"/>
      <w:r w:rsidRPr="005C09A0">
        <w:rPr>
          <w:rFonts w:ascii="Times New Roman" w:hAnsi="Times New Roman" w:cs="Times New Roman"/>
          <w:sz w:val="24"/>
          <w:szCs w:val="24"/>
        </w:rPr>
        <w:t>kijelző(</w:t>
      </w:r>
      <w:proofErr w:type="gramEnd"/>
      <w:r w:rsidRPr="005C09A0">
        <w:rPr>
          <w:rFonts w:ascii="Times New Roman" w:hAnsi="Times New Roman" w:cs="Times New Roman"/>
          <w:sz w:val="24"/>
          <w:szCs w:val="24"/>
        </w:rPr>
        <w:t>k)re automatikusan ki kell vezérelnie. Ezt a PIS kezelő személyzetnek legyen lehetősége kezelni, levenni, letiltani. Erre az UTAS kezelőfelületet számukra közvetlenül biztosítani kell.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Pr="005C09A0" w:rsidRDefault="00BC6302" w:rsidP="00BC63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Műszaki fejezet</w:t>
      </w:r>
    </w:p>
    <w:p w:rsidR="00BC6302" w:rsidRPr="005C09A0" w:rsidRDefault="00BC6302" w:rsidP="00BC630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6302" w:rsidRPr="009E64EB" w:rsidRDefault="00BC6302" w:rsidP="00BC6302">
      <w:pPr>
        <w:pStyle w:val="Listaszerbekezds"/>
        <w:numPr>
          <w:ilvl w:val="2"/>
          <w:numId w:val="4"/>
        </w:numPr>
        <w:rPr>
          <w:rFonts w:ascii="Times New Roman" w:hAnsi="Times New Roman" w:cs="Times New Roman"/>
          <w:u w:val="single"/>
        </w:rPr>
      </w:pPr>
      <w:r w:rsidRPr="009E64EB">
        <w:rPr>
          <w:rFonts w:ascii="Times New Roman" w:hAnsi="Times New Roman" w:cs="Times New Roman"/>
          <w:u w:val="single"/>
        </w:rPr>
        <w:t>Tervkészítés</w:t>
      </w:r>
    </w:p>
    <w:p w:rsidR="00BC6302" w:rsidRPr="009E64EB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kialakításra kerülő új rendszerelemek beépítéséről, a szükséges kábelezési munkákról a nyertes Vállalkozónak kiviteli tervet (benne a kijelzők elhelyezésére és tartószerkezetek megfelelőségére vonatkozó statikai tervvel) és megvalósulási dokumentációt kell készítenie, amelyeket elektronikus és nyomtatott formában az üzemeltető részére át kell adnia. </w:t>
      </w:r>
    </w:p>
    <w:p w:rsidR="00BC6302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kivitelezés elkezdésének feltétele a MÁV </w:t>
      </w:r>
      <w:proofErr w:type="spellStart"/>
      <w:r w:rsidRPr="009E64EB">
        <w:rPr>
          <w:rFonts w:ascii="Times New Roman" w:hAnsi="Times New Roman" w:cs="Times New Roman"/>
          <w:color w:val="000000" w:themeColor="text1"/>
          <w:sz w:val="24"/>
          <w:szCs w:val="24"/>
        </w:rPr>
        <w:t>Zrt</w:t>
      </w:r>
      <w:proofErr w:type="spellEnd"/>
      <w:r w:rsidRPr="009E64EB">
        <w:rPr>
          <w:rFonts w:ascii="Times New Roman" w:hAnsi="Times New Roman" w:cs="Times New Roman"/>
          <w:color w:val="000000" w:themeColor="text1"/>
          <w:sz w:val="24"/>
          <w:szCs w:val="24"/>
        </w:rPr>
        <w:t>. által jóváhagyott kiviteli terv.</w:t>
      </w:r>
    </w:p>
    <w:p w:rsidR="00BC6302" w:rsidRPr="005C09A0" w:rsidRDefault="00BC6302" w:rsidP="00BC630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Pr="005C09A0" w:rsidRDefault="00BC6302" w:rsidP="00BC6302">
      <w:pPr>
        <w:pStyle w:val="Listaszerbekezds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Berendezés telepítési feladatok:</w:t>
      </w:r>
    </w:p>
    <w:p w:rsidR="00BC6302" w:rsidRPr="005D6741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t>Az új utastájékoztató rendszer kiépítésével kapcsolatos munkálatok alatt a vasúti személyzet számára az állomási utastájékoztató feladatok nyújtásának feltételeit folyamatosan biztosítani szükséges.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meglévő utastájékoztató vezérlő új berendezésre történő cseréjét kérjük a teljes állomási utastájékoztató rendszer (meglévő hangos rendszer és az új kijelzők) teljes körű beintegrálásával, TTS rendszerrel történő kiegészítéssel. A csere során a MÁV UTAS rendszerrel történő kölcsönös adatcsere kapcsolat megvalósítása is szükséges. A táblák vezérlése a MÁV helyi IP LAN hálózatán keresztül fog történni, ezért az UTT vezérlő számítógépet, az új táblákat a helyi LAN-hoz kell csatlakoztatni. A helyi LAN-t bővíteni kell egy új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switch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eszközzel. Az új adatátviteli berendezésnek a MÁV meglévő adathálózati menedzsment rendszeréhez kell illeszkednie és azt a meglévő rendszerbe integrálni kell. A peronra helyezendő vizuális táblák vezérlését új optikai kábelen keresztül kell kiadni.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Felvételi épület váróterembe a Megrendelővel egyeztetett helyre 1 db min. 55”-os méretű, beltéri kiépítettségű TFT LCD vizuális összesítő kijelző elhelyezése szükséges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(monitort a Megrendelő biztosítja, az üzembe helyezés (kábelezés, felszerelés, vezérlés kialakítása) teljes körűen a Vállalkozó feladata)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tábla környezetében 1 db 60 cm átmérőjű, egyoldalas új beltéri mellékórát is el kell helyezni. 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2. és 3. vágány közötti peronra, új önálló tartószerkezetre 2 db kétoldalas, RGB LED mátrix technológiájú perontáblát kell telepíteni. A tartókonzol közepére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felülre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db 60 cm átmérőjű kétoldalas mellékórát kell elhelyezni. A tartókonzol mellé egy kültéri álló távközlési szekrényt kell telepíteni az új optika kábel kötésének elhelyezése céljából.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4. és 5. vágány közötti peronra, új önálló tartószerkezetre 2 db kétoldalas, RGB LED mátrix technológiájú perontábla legyen függesztve. A tartókonzol közepére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felülre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db 60 cm átmérőjű kétoldalas mellékórát kell elhelyezni. A tartókonzol mellé egy kültéri álló távközlési szekrényt kell telepíteni az új optika kábel kötésének elhelyezése céljából.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Az 1. vágány melletti peronra, új önálló tartószerkezetre 1 db kétoldalas, RGB LED mátrix technológiájú perontábla legyen függesztve. A tartókonzolra további 1 db 60 cm átmérőjű kétoldalas mellékórát kell elhelyezni. A tartókonzol mellé egy kültéri álló távközlési szekrényt kell telepíteni az új optika kábel kötésének elhelyezése céljából.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Aluljáró buszmegálló felöli végfalára 1 db minimum 55”-os, kültéri kiépítettségű összesítő TFT LCD vizuális összesítő telepítése szükséges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(monitort a Megrendelő biztosítja, az üzembe helyezés (kábelezés, felszerelés, vezérlés kialakítása) teljes körűen a Vállalkozó feladata)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, a kijelző helyéhez alépítmény kiépítése is szükséges.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távközlési szerelvényszobába a meglévő adatátviteli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rack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szekrénybe egy új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switch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-et és egy új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F16">
        <w:t xml:space="preserve"> </w:t>
      </w:r>
      <w:r w:rsidRPr="00027F16">
        <w:rPr>
          <w:rFonts w:ascii="Times New Roman" w:hAnsi="Times New Roman" w:cs="Times New Roman"/>
          <w:color w:val="000000" w:themeColor="text1"/>
          <w:sz w:val="24"/>
          <w:szCs w:val="24"/>
        </w:rPr>
        <w:t>E2000/APC csatlakozóval szerelt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optikai rendezőt kell telepíteni.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létesülő utastájékoztatás számára új, min. 30p áthidalási idejű szünetmentes áramellátást kell telepíteni, a telepítései hely kitűzése a tervezés során történjen meg (a meglévő helyiség szűkössége és a telített szekrények miatt). Lehetséges megoldásként a meglévő PQ áramellátó,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inverter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bővítése is szóba jöhet a szünetmentes táplálás biztosítására.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Az aktív berendezésekhez és a vizuális táblákhoz szünetmentes ~230 V tápfeszültség biztosítása szükséges. A táblafűtéshez elegendő normál ~230V tápfeszültség. Amennyiben a szükséges elektromos energia nem elegendő az állomáson, a szükséges bővítésről a kivitelezőnek kell gondoskodnia.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új vizuális berendezések a T.40. számú feltétfüzetben foglalt specifikációknak és menedzsment szolgáltatásokkal kapcsolatos elvárásoknak meg kell, hogy feleljenek. Pontos elhelyezésükről a MÁV illetékes szakágaival a tervezés során egyeztetni szükséges. 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új vizuális berendezések megjelenítési követelményeit a T.40. 10.1. és 10.3. pontjai szerint kell kialakítani. 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 telepített berendezések kezeléséről a kezelő személyzet számára felhasználói oktatást kell tartani magyar nyelven.</w:t>
      </w:r>
    </w:p>
    <w:p w:rsidR="00BC6302" w:rsidRPr="005C09A0" w:rsidRDefault="00BC6302" w:rsidP="00BC6302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 berendezést kezelő illetve használó személyzet részére biztosítani kell a berendezések és hálózatok normál működés és üzemzavar esetén szükséges tennivalók elsajátítását és begyakorlását, készség szinten történő ellátását. Az oktatást és képzést a Megbízó által jóváhagyott magyar nyelvű Kezelési Szabályzat felhasználásával, kell végrehajtani. A Kezelési Szabályzatot az oktatás megkezdése előtt véleményeztetni kell az érintett oktatandó személyek munkáltató jogkörgyakorló vezetőjével. Az oktatás és képzés elmulasztása, a Kezelési Szabályzat hiánya az átadás-átvétel meghiúsulásához vezet.</w:t>
      </w:r>
    </w:p>
    <w:p w:rsidR="00BC6302" w:rsidRPr="005C09A0" w:rsidRDefault="00BC6302" w:rsidP="00BC6302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6302" w:rsidRPr="005C09A0" w:rsidRDefault="00BC6302" w:rsidP="00BC6302">
      <w:pPr>
        <w:pStyle w:val="Listaszerbekezds"/>
        <w:numPr>
          <w:ilvl w:val="2"/>
          <w:numId w:val="4"/>
        </w:numPr>
        <w:rPr>
          <w:rFonts w:ascii="Times New Roman" w:hAnsi="Times New Roman" w:cs="Times New Roman"/>
          <w:u w:val="single"/>
        </w:rPr>
      </w:pPr>
      <w:r w:rsidRPr="005C09A0">
        <w:rPr>
          <w:rFonts w:ascii="Times New Roman" w:hAnsi="Times New Roman" w:cs="Times New Roman"/>
          <w:u w:val="single"/>
        </w:rPr>
        <w:t>Elhelyezendő vizuális utastájékoztató eszközök, helyi vezérlésről működtetve:</w:t>
      </w:r>
    </w:p>
    <w:p w:rsidR="00BC6302" w:rsidRPr="005C09A0" w:rsidRDefault="00BC6302" w:rsidP="00BC6302">
      <w:pPr>
        <w:pStyle w:val="Listaszerbekezds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C6302" w:rsidRPr="005C09A0" w:rsidRDefault="00BC6302" w:rsidP="00BC63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 váróterembe 1 db összesítő TFT LCD monitor kijelző (beltéri, min. 55”) az induló vonatok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kijelzése céljából. Jelen beruházás részére a monitort a Megrendelő biztosítja.</w:t>
      </w:r>
    </w:p>
    <w:p w:rsidR="00BC6302" w:rsidRDefault="00BC6302" w:rsidP="00BC63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váróterembe 1 db egyoldalas 60cm átmérőjű beltéri óra 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impulzusvezérelt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meglévő LCU típusú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főórához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csatlakoztatható, a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730-659. sz. órahálózatok feltétfüzet, mellékórákkal kapcsolatban megfogalmazott formai követelményeit kielégítő).</w:t>
      </w:r>
    </w:p>
    <w:p w:rsidR="00BC6302" w:rsidRPr="00027F16" w:rsidRDefault="00BC6302" w:rsidP="00BC63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Peronokra vágányonként 1 db kétoldalas RGB LED mátrix perontábla, összesen 5 db (az 1. vágány melletti peronra is) a T.40. számú feltétfüzet 9.2.7. pontja szerinti specifikációnak való megfelelőséggel. </w:t>
      </w:r>
    </w:p>
    <w:p w:rsidR="00BC6302" w:rsidRPr="005C09A0" w:rsidRDefault="00BC6302" w:rsidP="00BC63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Peronokra perontáblák közé 1-1db 60 cm-es kültéri kétoldalas peronóra, összesen 3 db (az 1. vágány melletti peronra is),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impulzusvezérelt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meglévő LCU típusú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főórához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csatlakoztatható, a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730-659. sz. órahálózatok feltétfüzet, mellékórákkal kapcsolatban megfogalmazott formai követelményeit kielégítő).</w:t>
      </w:r>
    </w:p>
    <w:p w:rsidR="00BC6302" w:rsidRDefault="00BC6302" w:rsidP="00BC63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F16">
        <w:rPr>
          <w:rFonts w:ascii="Times New Roman" w:hAnsi="Times New Roman" w:cs="Times New Roman"/>
          <w:color w:val="000000" w:themeColor="text1"/>
          <w:sz w:val="24"/>
          <w:szCs w:val="24"/>
        </w:rPr>
        <w:t>Aluljáró buszmegálló felöli végfalára 1 db összesítő TFT LCD monitor kijelző (kültéri, min. 55”) az induló vonatok összesítő kijelzése céljából. Jelen beruházás részére a monitort a Megrendelő biztosítja.</w:t>
      </w:r>
    </w:p>
    <w:p w:rsidR="00BC6302" w:rsidRDefault="00BC6302" w:rsidP="00BC6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Pr="00645134" w:rsidRDefault="00BC6302" w:rsidP="00BC6302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34">
        <w:rPr>
          <w:rFonts w:ascii="Times New Roman" w:hAnsi="Times New Roman" w:cs="Times New Roman"/>
          <w:color w:val="000000"/>
          <w:sz w:val="24"/>
          <w:szCs w:val="24"/>
        </w:rPr>
        <w:t>A kijelzők felszereléséhez szükséges tartószerkezetek, konzolok biztosítása (beszerzése, adott esetben tervezése, gyártása, stb.) a Vállalkozó feladata.</w:t>
      </w:r>
    </w:p>
    <w:p w:rsidR="00BC6302" w:rsidRPr="005C09A0" w:rsidRDefault="00BC6302" w:rsidP="00BC6302">
      <w:pPr>
        <w:pStyle w:val="Listaszerbekezds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Pr="005C09A0" w:rsidRDefault="00BC6302" w:rsidP="00BC6302">
      <w:pPr>
        <w:pStyle w:val="Listaszerbekezds"/>
        <w:numPr>
          <w:ilvl w:val="1"/>
          <w:numId w:val="4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Madár elleni védelem</w:t>
      </w:r>
    </w:p>
    <w:p w:rsidR="00BC6302" w:rsidRDefault="00BC6302" w:rsidP="00BC63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Az utasforgalom számára megnyitott területeken elhelyezett kültéri kijelzőket a Vállalkozónak madár elleni védelemmel (tüskével) kell ellátni.</w:t>
      </w:r>
    </w:p>
    <w:p w:rsidR="00BC6302" w:rsidRPr="005C09A0" w:rsidRDefault="00BC6302" w:rsidP="00BC6302">
      <w:pPr>
        <w:pStyle w:val="Listaszerbekezds"/>
        <w:numPr>
          <w:ilvl w:val="1"/>
          <w:numId w:val="4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Adatátviteli IP eszközök műszaki követelményei:</w:t>
      </w:r>
    </w:p>
    <w:p w:rsidR="00BC6302" w:rsidRPr="005C09A0" w:rsidRDefault="00BC6302" w:rsidP="00BC6302">
      <w:pPr>
        <w:pStyle w:val="Listaszerbekezds"/>
        <w:spacing w:line="240" w:lineRule="auto"/>
        <w:ind w:left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6302" w:rsidRPr="005C09A0" w:rsidRDefault="00BC6302" w:rsidP="00BC63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 MÁV adathálózat menedzsment rendszeréhez illeszkedő, teljes funkcionalitással kezelt eszközöket kell alkalmazni.</w:t>
      </w:r>
    </w:p>
    <w:p w:rsidR="00BC6302" w:rsidRPr="005C09A0" w:rsidRDefault="00BC6302" w:rsidP="00BC63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MÁV adathálózat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routingjához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illeszkedő eszközöket kell alkalmazni.</w:t>
      </w:r>
    </w:p>
    <w:p w:rsidR="00BC6302" w:rsidRPr="005C09A0" w:rsidRDefault="00BC6302" w:rsidP="00BC63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Az aktív eszközöknek SFP modul fogadására alkalmas interfész hellyel kell rendelkeznie.</w:t>
      </w:r>
    </w:p>
    <w:p w:rsidR="00BC6302" w:rsidRPr="005C09A0" w:rsidRDefault="00BC6302" w:rsidP="00BC6302">
      <w:pPr>
        <w:pStyle w:val="Listaszerbekezds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Pr="005C09A0" w:rsidRDefault="00BC6302" w:rsidP="00BC6302">
      <w:pPr>
        <w:pStyle w:val="Listaszerbekezds"/>
        <w:numPr>
          <w:ilvl w:val="1"/>
          <w:numId w:val="4"/>
        </w:numPr>
        <w:spacing w:line="240" w:lineRule="auto"/>
        <w:ind w:left="851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Fényvezető kábelek műszaki követelményei:</w:t>
      </w:r>
    </w:p>
    <w:p w:rsidR="00BC6302" w:rsidRPr="005C09A0" w:rsidRDefault="00BC6302" w:rsidP="00BC6302">
      <w:pPr>
        <w:pStyle w:val="Listaszerbekezds"/>
        <w:spacing w:line="240" w:lineRule="auto"/>
        <w:ind w:left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C6302" w:rsidRPr="005C09A0" w:rsidRDefault="00BC6302" w:rsidP="00BC63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Felhasználása állomás területén belül védőcsőben néhány 100 m távolságban.</w:t>
      </w:r>
    </w:p>
    <w:p w:rsidR="00BC6302" w:rsidRPr="005C09A0" w:rsidRDefault="00BC6302" w:rsidP="00BC63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kábel kültéri kivitelű legyen, min. 12 db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monomódusú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(SM) fényvezető szállal rendelkezzen. </w:t>
      </w:r>
    </w:p>
    <w:p w:rsidR="00BC6302" w:rsidRPr="005C09A0" w:rsidRDefault="00BC6302" w:rsidP="00BC63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Az ITU-T G.652D szabvány előírásainak megfelelő fényvezető szálakkal rendelkezzen.</w:t>
      </w:r>
    </w:p>
    <w:p w:rsidR="00BC6302" w:rsidRPr="005C09A0" w:rsidRDefault="00BC6302" w:rsidP="00BC6302">
      <w:pPr>
        <w:pStyle w:val="Listaszerbekezds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Default="00BC6302" w:rsidP="00BC6302">
      <w:pPr>
        <w:pStyle w:val="Listaszerbekezds"/>
        <w:numPr>
          <w:ilvl w:val="1"/>
          <w:numId w:val="4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UTP kábel típusa: </w:t>
      </w:r>
    </w:p>
    <w:p w:rsidR="00BC6302" w:rsidRPr="005C09A0" w:rsidRDefault="00BC6302" w:rsidP="00BC6302">
      <w:pPr>
        <w:pStyle w:val="Listaszerbekezds"/>
        <w:spacing w:line="240" w:lineRule="auto"/>
        <w:ind w:left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6302" w:rsidRDefault="00BC6302" w:rsidP="00BC63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CAT6</w:t>
      </w:r>
    </w:p>
    <w:p w:rsidR="00BC6302" w:rsidRDefault="00BC6302" w:rsidP="00BC6302">
      <w:pPr>
        <w:pStyle w:val="Listaszerbekezds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Pr="009E64EB" w:rsidRDefault="00BC6302" w:rsidP="00BC6302">
      <w:pPr>
        <w:pStyle w:val="Listaszerbekezds"/>
        <w:numPr>
          <w:ilvl w:val="1"/>
          <w:numId w:val="4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Á</w:t>
      </w:r>
      <w:r w:rsidRPr="009E64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tadás-átvétel:</w:t>
      </w:r>
    </w:p>
    <w:p w:rsidR="00BC6302" w:rsidRPr="005C09A0" w:rsidRDefault="00BC6302" w:rsidP="00BC6302">
      <w:pPr>
        <w:spacing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 megbízó által előírt üzembe helyezési eljárásoknak megfelelő vizsgálatokat el kell végezni, beleértve a próbaüzemet is.</w:t>
      </w:r>
    </w:p>
    <w:p w:rsidR="00BC6302" w:rsidRPr="005C09A0" w:rsidRDefault="00BC6302" w:rsidP="00BC6302">
      <w:pPr>
        <w:spacing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 műszaki átadás–átvételi eljáráson 4 db nyomtatott és 2 db elektronikus (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valamint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dwg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formában) példányban magyar nyelvű műszaki és megvalósulási dokumentációt, a telepített software-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patch-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telepítő fájljait, a telepítéshez szükséges beállítási paramétereket, valamint a software-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eredetiségét igazoló dokumentumokat kell az üzemeltető részére átadni. </w:t>
      </w:r>
    </w:p>
    <w:p w:rsidR="00BC6302" w:rsidRPr="009E64EB" w:rsidRDefault="00BC6302" w:rsidP="00BC6302">
      <w:pPr>
        <w:pStyle w:val="Listaszerbekezds"/>
        <w:numPr>
          <w:ilvl w:val="1"/>
          <w:numId w:val="4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64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Oktatás</w:t>
      </w:r>
    </w:p>
    <w:p w:rsidR="00BC6302" w:rsidRPr="005D6741" w:rsidRDefault="00BC6302" w:rsidP="00BC6302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berendezést kezelők és a műszaki személyzet oktatásáról gondoskodni kell. Oktatásban a helyi forgalmi és a karbantartó, üzemeltető személyzetet kell részesíteni. Az oktatást és képzést magyar nyelven kell tartani.</w:t>
      </w:r>
    </w:p>
    <w:p w:rsidR="00BC6302" w:rsidRPr="005D6741" w:rsidRDefault="00BC6302" w:rsidP="00BC6302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t>A berendezést kezelő illetve használó személyzet részére biztosítani kell a berendezések és hálózatok normál működés és üzemzavar esetén szükséges tennivalók elsajátítását és begyakorlását, készség szinten történő ellátását. Az oktatást és képzést a Megbízó által jóváhagyott magyar nyelvű Kezelési Szabályzat felhasználásával, kell végrehajtani. A Kezelési Szabályzatot az oktatás megkezdése előtt véleményeztetni kell az érintett oktatandó személyek munkáltató jogkörgyakorló vezetőjével.</w:t>
      </w:r>
    </w:p>
    <w:p w:rsidR="00BC6302" w:rsidRPr="005D6741" w:rsidRDefault="00BC6302" w:rsidP="00BC6302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41">
        <w:rPr>
          <w:rFonts w:ascii="Times New Roman" w:hAnsi="Times New Roman" w:cs="Times New Roman"/>
          <w:color w:val="000000" w:themeColor="text1"/>
          <w:sz w:val="24"/>
          <w:szCs w:val="24"/>
        </w:rPr>
        <w:t>Az oktatás és képzés elmulasztása, a Kezelési Szabályzat hiánya az átadás-átvétel meghiúsulásához vezet.</w:t>
      </w:r>
    </w:p>
    <w:p w:rsidR="00BC6302" w:rsidRDefault="00BC6302" w:rsidP="00BC6302">
      <w:pPr>
        <w:pStyle w:val="Listaszerbekezds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Pr="00783C6A" w:rsidRDefault="00BC6302" w:rsidP="00BC6302">
      <w:pPr>
        <w:pStyle w:val="Listaszerbekezds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302" w:rsidRPr="00783C6A" w:rsidRDefault="00BC6302" w:rsidP="00BC63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3C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Mellékletek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egyéb előírások</w:t>
      </w:r>
    </w:p>
    <w:p w:rsidR="00BC6302" w:rsidRPr="009E64EB" w:rsidRDefault="00BC6302" w:rsidP="00BC630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6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vizuális és hangos utastájékoztatás megvalósításánál, a hanganyag készítésénél „A közszolgáltatás keretében nyújtott földi utastájékoztatási tevékenység pályaműködtetési szerződés szerinti végrehajtásáról” c. MÁV utasítás előírásait figyelembe kell venni. </w:t>
      </w:r>
      <w:r w:rsidRPr="009E64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(jelen műszaki tartalom melléklete /1</w:t>
      </w:r>
      <w:proofErr w:type="gramStart"/>
      <w:r w:rsidRPr="009E64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.sz.</w:t>
      </w:r>
      <w:proofErr w:type="gramEnd"/>
      <w:r w:rsidRPr="009E64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Melléklet/)</w:t>
      </w:r>
    </w:p>
    <w:p w:rsidR="00BC6302" w:rsidRPr="009E64EB" w:rsidRDefault="00BC6302" w:rsidP="00BC630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6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vizuális rendszerek és berendezések telepítésekor a T.40. </w:t>
      </w:r>
      <w:proofErr w:type="gramStart"/>
      <w:r w:rsidRPr="009E64EB">
        <w:rPr>
          <w:rFonts w:ascii="Times New Roman" w:hAnsi="Times New Roman" w:cs="Times New Roman"/>
          <w:color w:val="000000" w:themeColor="text1"/>
          <w:sz w:val="24"/>
          <w:szCs w:val="24"/>
        </w:rPr>
        <w:t>számú</w:t>
      </w:r>
      <w:proofErr w:type="gramEnd"/>
      <w:r w:rsidRPr="009E6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feltétfüzetben foglaltak az irányadók </w:t>
      </w:r>
      <w:r w:rsidRPr="009E64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(jelen műszaki tartalom melléklete /2.sz. Melléklet/)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A kialakítan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dó új utastájékoztató rendszer</w:t>
      </w: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vezérlés kialakításakor a teljes integráció során figyelembe veendő leírások jelen műszaki tartalom mellékletei: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1. sz. Melléklet: 26/2018. (VIII. 17. MÁV Ért. 8.)  EVIG sz. utasítás „A közszolgáltatás keretében nyújtott földi utastájékoztatási tevékenység pályaműködtetési szerződés szerinti végrehajtásáról” c. MÁV utasítás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sz. Melléklet: T.40. </w:t>
      </w:r>
      <w:proofErr w:type="gram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sz.</w:t>
      </w:r>
      <w:proofErr w:type="gram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Feltétfüzet a MÁV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Zrt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. vizuális utastájékoztató berendezéseinek szolgáltatási és műszaki követelményei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3. sz. Melléklet: „UTAS-PIS menetrendi kötet”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4. sz. Melléklet: „UTAS-PIS közlekedés kötet”</w:t>
      </w:r>
    </w:p>
    <w:p w:rsidR="00BC6302" w:rsidRPr="005C09A0" w:rsidRDefault="00BC6302" w:rsidP="00BC63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sz. Melléklet: „UTAS-PIS </w:t>
      </w:r>
      <w:proofErr w:type="spellStart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havaria-vgz</w:t>
      </w:r>
      <w:proofErr w:type="spellEnd"/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kötet”</w:t>
      </w:r>
    </w:p>
    <w:p w:rsidR="00BC6302" w:rsidRPr="0024035E" w:rsidRDefault="00BC6302" w:rsidP="00BC6302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5C09A0">
        <w:rPr>
          <w:rFonts w:ascii="Times New Roman" w:hAnsi="Times New Roman" w:cs="Times New Roman"/>
          <w:color w:val="000000" w:themeColor="text1"/>
          <w:sz w:val="24"/>
          <w:szCs w:val="24"/>
        </w:rPr>
        <w:t>6. sz. Melléklet: „PIS kötet”</w:t>
      </w:r>
    </w:p>
    <w:p w:rsidR="00161743" w:rsidRDefault="00161743"/>
    <w:sectPr w:rsidR="00161743" w:rsidSect="00EB629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012536"/>
      <w:docPartObj>
        <w:docPartGallery w:val="Page Numbers (Bottom of Page)"/>
        <w:docPartUnique/>
      </w:docPartObj>
    </w:sdtPr>
    <w:sdtEndPr/>
    <w:sdtContent>
      <w:p w:rsidR="00E26AF7" w:rsidRPr="00D75BD7" w:rsidRDefault="001409DC" w:rsidP="00E26AF7">
        <w:pPr>
          <w:pStyle w:val="llb"/>
          <w:pBdr>
            <w:top w:val="single" w:sz="2" w:space="5" w:color="auto"/>
          </w:pBdr>
          <w:tabs>
            <w:tab w:val="clear" w:pos="4536"/>
            <w:tab w:val="clear" w:pos="9072"/>
            <w:tab w:val="left" w:pos="900"/>
            <w:tab w:val="left" w:pos="7845"/>
          </w:tabs>
          <w:spacing w:before="80"/>
          <w:ind w:left="1080" w:hanging="1080"/>
          <w:jc w:val="both"/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</w:pP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 xml:space="preserve">Ügyiratszám, tárgy: </w:t>
        </w:r>
        <w:r w:rsidRPr="00972021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16729/2019/MAV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 xml:space="preserve">, 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Valós idejű utas-ismeretterjeszt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ő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 xml:space="preserve"> kijelzők építése Monor állomáson</w:t>
        </w:r>
      </w:p>
      <w:p w:rsidR="009214E7" w:rsidRPr="00D75BD7" w:rsidRDefault="001409DC" w:rsidP="00E26AF7">
        <w:pPr>
          <w:pStyle w:val="llb"/>
          <w:pBdr>
            <w:top w:val="single" w:sz="2" w:space="5" w:color="auto"/>
          </w:pBdr>
          <w:tabs>
            <w:tab w:val="clear" w:pos="4536"/>
            <w:tab w:val="clear" w:pos="9072"/>
            <w:tab w:val="left" w:pos="900"/>
            <w:tab w:val="left" w:pos="7845"/>
          </w:tabs>
          <w:spacing w:before="80"/>
          <w:ind w:left="1080" w:hanging="1080"/>
          <w:jc w:val="both"/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</w:pP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Ügyintéző</w:t>
        </w:r>
        <w:r w:rsidRPr="00D75BD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: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 xml:space="preserve"> Nagy Dániel, beszerzési szakértő, </w:t>
        </w:r>
        <w:r w:rsidRPr="00E26AF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+36/30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-</w:t>
        </w:r>
        <w:r w:rsidRPr="00E26AF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681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-</w:t>
        </w:r>
        <w:r w:rsidRPr="00E26AF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3403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, nagy.daniel6@mav.hu</w:t>
        </w:r>
        <w:r w:rsidRPr="00D75BD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ab/>
        </w:r>
        <w:r w:rsidRPr="00D75BD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 xml:space="preserve"> </w:t>
        </w:r>
      </w:p>
      <w:p w:rsidR="00340DE6" w:rsidRDefault="001409D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0DE6" w:rsidRDefault="001409D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329917"/>
      <w:docPartObj>
        <w:docPartGallery w:val="Page Numbers (Bottom of Page)"/>
        <w:docPartUnique/>
      </w:docPartObj>
    </w:sdtPr>
    <w:sdtEndPr/>
    <w:sdtContent>
      <w:p w:rsidR="009214E7" w:rsidRPr="00D75BD7" w:rsidRDefault="001409DC" w:rsidP="009214E7">
        <w:pPr>
          <w:pStyle w:val="llb"/>
          <w:pBdr>
            <w:top w:val="single" w:sz="2" w:space="5" w:color="auto"/>
          </w:pBdr>
          <w:tabs>
            <w:tab w:val="clear" w:pos="4536"/>
            <w:tab w:val="clear" w:pos="9072"/>
            <w:tab w:val="left" w:pos="900"/>
            <w:tab w:val="left" w:pos="7845"/>
          </w:tabs>
          <w:spacing w:before="80"/>
          <w:ind w:left="1080" w:hanging="1080"/>
          <w:jc w:val="both"/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</w:pP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Ügyiratszám, tárgy: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 xml:space="preserve"> </w:t>
        </w:r>
        <w:r w:rsidRPr="00972021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16729/2019/MAV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 xml:space="preserve">, 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Valós idejű utas-ismeretterjesztő kijelzők építése Monor állomáson</w:t>
        </w:r>
      </w:p>
      <w:p w:rsidR="009214E7" w:rsidRPr="00D75BD7" w:rsidRDefault="001409DC" w:rsidP="009214E7">
        <w:pPr>
          <w:pBdr>
            <w:top w:val="single" w:sz="2" w:space="5" w:color="auto"/>
          </w:pBdr>
          <w:tabs>
            <w:tab w:val="left" w:pos="900"/>
          </w:tabs>
          <w:spacing w:before="80" w:after="0" w:line="240" w:lineRule="auto"/>
          <w:ind w:left="1080" w:hanging="1080"/>
          <w:jc w:val="both"/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</w:pP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Ügyintéző</w:t>
        </w:r>
        <w:r w:rsidRPr="00D75BD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: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 xml:space="preserve"> Nagy Dániel, beszerzési szakértő, </w:t>
        </w:r>
        <w:r w:rsidRPr="00E26AF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+36/30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-</w:t>
        </w:r>
        <w:r w:rsidRPr="00E26AF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681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-</w:t>
        </w:r>
        <w:r w:rsidRPr="00E26AF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3403</w:t>
        </w:r>
        <w: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, nagy.daniel6@mav.hu</w:t>
        </w:r>
        <w:r w:rsidRPr="00D75BD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ab/>
          <w:t xml:space="preserve"> </w:t>
        </w:r>
      </w:p>
      <w:p w:rsidR="00340DE6" w:rsidRDefault="001409D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0DE6" w:rsidRDefault="001409DC" w:rsidP="00D115E9">
    <w:pPr>
      <w:pStyle w:val="llb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E6" w:rsidRDefault="001409DC" w:rsidP="00326A65">
    <w:pPr>
      <w:pStyle w:val="lfej"/>
      <w:tabs>
        <w:tab w:val="clear" w:pos="4536"/>
        <w:tab w:val="clear" w:pos="9072"/>
        <w:tab w:val="right" w:pos="694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E6" w:rsidRDefault="001409DC" w:rsidP="00221EEF">
    <w:pPr>
      <w:pStyle w:val="lfej"/>
      <w:ind w:left="360"/>
      <w:jc w:val="right"/>
      <w:rPr>
        <w:noProof/>
        <w:lang w:eastAsia="hu-HU"/>
      </w:rPr>
    </w:pPr>
    <w:r>
      <w:tab/>
    </w:r>
  </w:p>
  <w:p w:rsidR="00340DE6" w:rsidRDefault="001409DC" w:rsidP="00B6621A">
    <w:pPr>
      <w:pStyle w:val="lfej"/>
      <w:tabs>
        <w:tab w:val="left" w:pos="3465"/>
      </w:tabs>
      <w:jc w:val="center"/>
    </w:pPr>
    <w:r>
      <w:rPr>
        <w:noProof/>
        <w:lang w:eastAsia="hu-HU"/>
      </w:rPr>
      <w:drawing>
        <wp:inline distT="0" distB="0" distL="0" distR="0" wp14:anchorId="5AB3B4A7" wp14:editId="3B265CA2">
          <wp:extent cx="840105" cy="850900"/>
          <wp:effectExtent l="0" t="0" r="0" b="635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DE6" w:rsidRDefault="001409DC" w:rsidP="00340DE6">
    <w:pPr>
      <w:pStyle w:val="lfej"/>
      <w:tabs>
        <w:tab w:val="left" w:pos="346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7A75"/>
    <w:multiLevelType w:val="hybridMultilevel"/>
    <w:tmpl w:val="73783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7444"/>
    <w:multiLevelType w:val="hybridMultilevel"/>
    <w:tmpl w:val="18C0F684"/>
    <w:lvl w:ilvl="0" w:tplc="7406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3115"/>
    <w:multiLevelType w:val="multilevel"/>
    <w:tmpl w:val="B5FE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6822A2"/>
    <w:multiLevelType w:val="hybridMultilevel"/>
    <w:tmpl w:val="FEE093A6"/>
    <w:lvl w:ilvl="0" w:tplc="D548D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C3A03"/>
    <w:multiLevelType w:val="hybridMultilevel"/>
    <w:tmpl w:val="051AF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2"/>
    <w:rsid w:val="001409DC"/>
    <w:rsid w:val="00161743"/>
    <w:rsid w:val="00B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D425-4644-404C-80F3-76CC000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630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C63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6302"/>
  </w:style>
  <w:style w:type="paragraph" w:styleId="llb">
    <w:name w:val="footer"/>
    <w:basedOn w:val="Norml"/>
    <w:link w:val="llbChar"/>
    <w:uiPriority w:val="99"/>
    <w:unhideWhenUsed/>
    <w:rsid w:val="00BC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6302"/>
  </w:style>
  <w:style w:type="character" w:customStyle="1" w:styleId="ListaszerbekezdsChar">
    <w:name w:val="Listaszerű bekezdés Char"/>
    <w:link w:val="Listaszerbekezds"/>
    <w:uiPriority w:val="34"/>
    <w:locked/>
    <w:rsid w:val="00BC6302"/>
  </w:style>
  <w:style w:type="paragraph" w:customStyle="1" w:styleId="Default">
    <w:name w:val="Default"/>
    <w:rsid w:val="00BC63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C6302"/>
    <w:pPr>
      <w:suppressAutoHyphens/>
      <w:overflowPunct w:val="0"/>
      <w:autoSpaceDE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CmChar">
    <w:name w:val="Cím Char"/>
    <w:basedOn w:val="Bekezdsalapbettpusa"/>
    <w:link w:val="Cm"/>
    <w:rsid w:val="00BC630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C630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C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6 Dániel (nagy6da)</dc:creator>
  <cp:keywords/>
  <dc:description/>
  <cp:lastModifiedBy>Nagy 6 Dániel (nagy6da)</cp:lastModifiedBy>
  <cp:revision>2</cp:revision>
  <dcterms:created xsi:type="dcterms:W3CDTF">2019-05-24T09:12:00Z</dcterms:created>
  <dcterms:modified xsi:type="dcterms:W3CDTF">2019-05-24T09:13:00Z</dcterms:modified>
</cp:coreProperties>
</file>