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254" w:rsidRDefault="00844254" w:rsidP="00844254">
      <w:pPr>
        <w:keepLines/>
        <w:tabs>
          <w:tab w:val="left" w:pos="2694"/>
          <w:tab w:val="left" w:pos="3261"/>
          <w:tab w:val="left" w:leader="underscore" w:pos="5954"/>
          <w:tab w:val="left" w:leader="dot" w:pos="8789"/>
        </w:tabs>
        <w:jc w:val="center"/>
        <w:rPr>
          <w:rFonts w:ascii="Times New Roman" w:hAnsi="Times New Roman" w:cs="Times New Roman"/>
          <w:b/>
          <w:sz w:val="32"/>
          <w:szCs w:val="32"/>
        </w:rPr>
      </w:pPr>
      <w:r w:rsidRPr="00354DDF">
        <w:rPr>
          <w:rFonts w:ascii="Times New Roman" w:hAnsi="Times New Roman" w:cs="Times New Roman"/>
          <w:b/>
          <w:sz w:val="32"/>
          <w:szCs w:val="32"/>
        </w:rPr>
        <w:t>Műszaki tartalom</w:t>
      </w:r>
    </w:p>
    <w:p w:rsidR="00844254" w:rsidRPr="00354DDF" w:rsidRDefault="00844254" w:rsidP="00844254">
      <w:pPr>
        <w:keepLines/>
        <w:tabs>
          <w:tab w:val="left" w:pos="2694"/>
          <w:tab w:val="left" w:pos="3261"/>
          <w:tab w:val="left" w:leader="underscore" w:pos="5954"/>
          <w:tab w:val="left" w:leader="dot" w:pos="8789"/>
        </w:tabs>
        <w:jc w:val="center"/>
        <w:rPr>
          <w:rFonts w:ascii="Times New Roman" w:hAnsi="Times New Roman" w:cs="Times New Roman"/>
          <w:sz w:val="28"/>
          <w:szCs w:val="28"/>
        </w:rPr>
      </w:pPr>
      <w:r w:rsidRPr="00354DDF">
        <w:rPr>
          <w:rFonts w:ascii="Times New Roman" w:hAnsi="Times New Roman" w:cs="Times New Roman"/>
          <w:sz w:val="28"/>
          <w:szCs w:val="28"/>
        </w:rPr>
        <w:t>IT</w:t>
      </w:r>
      <w:proofErr w:type="gramStart"/>
      <w:r w:rsidRPr="00354DDF">
        <w:rPr>
          <w:rFonts w:ascii="Times New Roman" w:hAnsi="Times New Roman" w:cs="Times New Roman"/>
          <w:sz w:val="28"/>
          <w:szCs w:val="28"/>
        </w:rPr>
        <w:t>.DOT</w:t>
      </w:r>
      <w:proofErr w:type="gramEnd"/>
      <w:r w:rsidRPr="00354DDF">
        <w:rPr>
          <w:rFonts w:ascii="Times New Roman" w:hAnsi="Times New Roman" w:cs="Times New Roman"/>
          <w:sz w:val="28"/>
          <w:szCs w:val="28"/>
        </w:rPr>
        <w:t xml:space="preserve"> gyártmányú utastájékoztató berendezések, azok kártyáinak, egységeinek javítása, IT.DOT szoftvertámogatás</w:t>
      </w:r>
    </w:p>
    <w:p w:rsidR="00844254" w:rsidRPr="00354DDF" w:rsidRDefault="00844254" w:rsidP="00844254">
      <w:pPr>
        <w:keepLines/>
        <w:tabs>
          <w:tab w:val="left" w:pos="2694"/>
          <w:tab w:val="left" w:pos="3261"/>
          <w:tab w:val="left" w:leader="underscore" w:pos="5954"/>
          <w:tab w:val="left" w:leader="dot" w:pos="8789"/>
        </w:tabs>
        <w:jc w:val="both"/>
        <w:rPr>
          <w:rFonts w:ascii="Times New Roman" w:hAnsi="Times New Roman" w:cs="Times New Roman"/>
        </w:rPr>
      </w:pPr>
      <w:r w:rsidRPr="00354DDF">
        <w:rPr>
          <w:rFonts w:ascii="Times New Roman" w:hAnsi="Times New Roman" w:cs="Times New Roman"/>
        </w:rPr>
        <w:t>A szerződés műszaki tartalma kiterjed MÁV Zrt. tulajdonában és üzemeltetésében lévő MÁV Zrt. Távközlési Főnökség Budapest, MÁV Zrt. Távközlési Főnökség Debrecen, MÁV Zrt. Távközlési Főnökség Pécs, MÁV Zrt. Távközlési Főnökség Miskolc, MÁV Zrt. Távközlési Főnökség Szeged valamint MÁV Zrt. Távközlési Főnökség Szombathely területeihez tartozó IT</w:t>
      </w:r>
      <w:proofErr w:type="gramStart"/>
      <w:r w:rsidRPr="00354DDF">
        <w:rPr>
          <w:rFonts w:ascii="Times New Roman" w:hAnsi="Times New Roman" w:cs="Times New Roman"/>
        </w:rPr>
        <w:t>.DOT</w:t>
      </w:r>
      <w:proofErr w:type="gramEnd"/>
      <w:r w:rsidRPr="00354DDF">
        <w:rPr>
          <w:rFonts w:ascii="Times New Roman" w:hAnsi="Times New Roman" w:cs="Times New Roman"/>
        </w:rPr>
        <w:t xml:space="preserve"> Kft. által a MÁV Zrt. részére tervezett, gyártott és szervizelt berendezések és azok tartozékainak szükség szerinti hardveres és szoftveres eseti javítására. A szoftveres támogatásnak valamennyi a MÁV Zrt. területén az IT</w:t>
      </w:r>
      <w:proofErr w:type="gramStart"/>
      <w:r w:rsidRPr="00354DDF">
        <w:rPr>
          <w:rFonts w:ascii="Times New Roman" w:hAnsi="Times New Roman" w:cs="Times New Roman"/>
        </w:rPr>
        <w:t>.DOT</w:t>
      </w:r>
      <w:proofErr w:type="gramEnd"/>
      <w:r w:rsidRPr="00354DDF">
        <w:rPr>
          <w:rFonts w:ascii="Times New Roman" w:hAnsi="Times New Roman" w:cs="Times New Roman"/>
        </w:rPr>
        <w:t xml:space="preserve"> Kft. közreműködésével üzembe helyezett berendezésben működő szoftvert le kell fednie. Ezek eseti javítását, hardver csere utáni </w:t>
      </w:r>
      <w:proofErr w:type="spellStart"/>
      <w:r w:rsidRPr="00354DDF">
        <w:rPr>
          <w:rFonts w:ascii="Times New Roman" w:hAnsi="Times New Roman" w:cs="Times New Roman"/>
        </w:rPr>
        <w:t>újratelepítését</w:t>
      </w:r>
      <w:proofErr w:type="spellEnd"/>
      <w:r w:rsidRPr="00354DDF">
        <w:rPr>
          <w:rFonts w:ascii="Times New Roman" w:hAnsi="Times New Roman" w:cs="Times New Roman"/>
        </w:rPr>
        <w:t xml:space="preserve">, szükség szerinti </w:t>
      </w:r>
      <w:proofErr w:type="gramStart"/>
      <w:r w:rsidRPr="00354DDF">
        <w:rPr>
          <w:rFonts w:ascii="Times New Roman" w:hAnsi="Times New Roman" w:cs="Times New Roman"/>
        </w:rPr>
        <w:t>módosítását  a</w:t>
      </w:r>
      <w:proofErr w:type="gramEnd"/>
      <w:r w:rsidRPr="00354DDF">
        <w:rPr>
          <w:rFonts w:ascii="Times New Roman" w:hAnsi="Times New Roman" w:cs="Times New Roman"/>
        </w:rPr>
        <w:t xml:space="preserve"> Vállalkozónak teljes körűen el kell végeznie.  </w:t>
      </w:r>
    </w:p>
    <w:p w:rsidR="00844254" w:rsidRPr="00354DDF" w:rsidRDefault="00844254" w:rsidP="00844254">
      <w:pPr>
        <w:keepLines/>
        <w:tabs>
          <w:tab w:val="left" w:pos="2694"/>
          <w:tab w:val="left" w:pos="3261"/>
          <w:tab w:val="left" w:leader="underscore" w:pos="5954"/>
          <w:tab w:val="left" w:leader="dot" w:pos="8789"/>
        </w:tabs>
        <w:rPr>
          <w:rFonts w:ascii="Times New Roman" w:hAnsi="Times New Roman" w:cs="Times New Roman"/>
          <w:b/>
        </w:rPr>
      </w:pPr>
      <w:r w:rsidRPr="00354DDF">
        <w:rPr>
          <w:rFonts w:ascii="Times New Roman" w:hAnsi="Times New Roman" w:cs="Times New Roman"/>
          <w:b/>
        </w:rPr>
        <w:t>Helyszínek megoszlása:</w:t>
      </w:r>
    </w:p>
    <w:p w:rsidR="00844254" w:rsidRPr="00354DDF" w:rsidRDefault="00844254" w:rsidP="00844254">
      <w:pPr>
        <w:pStyle w:val="Listaszerbekezds"/>
        <w:keepLines/>
        <w:numPr>
          <w:ilvl w:val="0"/>
          <w:numId w:val="1"/>
        </w:numPr>
        <w:tabs>
          <w:tab w:val="left" w:pos="2694"/>
          <w:tab w:val="left" w:pos="3261"/>
          <w:tab w:val="left" w:leader="underscore" w:pos="5954"/>
          <w:tab w:val="left" w:leader="dot" w:pos="8789"/>
        </w:tabs>
        <w:rPr>
          <w:rFonts w:ascii="Times New Roman" w:hAnsi="Times New Roman" w:cs="Times New Roman"/>
        </w:rPr>
      </w:pPr>
      <w:r w:rsidRPr="00354DDF">
        <w:rPr>
          <w:rFonts w:ascii="Times New Roman" w:hAnsi="Times New Roman" w:cs="Times New Roman"/>
        </w:rPr>
        <w:t>Távközlési Főnökség Budapest: 85 helyszín</w:t>
      </w:r>
    </w:p>
    <w:p w:rsidR="00844254" w:rsidRPr="00354DDF" w:rsidRDefault="00844254" w:rsidP="00844254">
      <w:pPr>
        <w:pStyle w:val="Listaszerbekezds"/>
        <w:keepLines/>
        <w:numPr>
          <w:ilvl w:val="0"/>
          <w:numId w:val="1"/>
        </w:numPr>
        <w:tabs>
          <w:tab w:val="left" w:pos="2694"/>
          <w:tab w:val="left" w:pos="3261"/>
          <w:tab w:val="left" w:leader="underscore" w:pos="5954"/>
          <w:tab w:val="left" w:leader="dot" w:pos="8789"/>
        </w:tabs>
        <w:rPr>
          <w:rFonts w:ascii="Times New Roman" w:hAnsi="Times New Roman" w:cs="Times New Roman"/>
        </w:rPr>
      </w:pPr>
      <w:r w:rsidRPr="00354DDF">
        <w:rPr>
          <w:rFonts w:ascii="Times New Roman" w:hAnsi="Times New Roman" w:cs="Times New Roman"/>
        </w:rPr>
        <w:t>Távközlési Főnökség Debrecen: 7 helyszín</w:t>
      </w:r>
    </w:p>
    <w:p w:rsidR="00844254" w:rsidRPr="00354DDF" w:rsidRDefault="00844254" w:rsidP="00844254">
      <w:pPr>
        <w:pStyle w:val="Listaszerbekezds"/>
        <w:keepLines/>
        <w:numPr>
          <w:ilvl w:val="0"/>
          <w:numId w:val="1"/>
        </w:numPr>
        <w:tabs>
          <w:tab w:val="left" w:pos="2694"/>
          <w:tab w:val="left" w:pos="3261"/>
          <w:tab w:val="left" w:leader="underscore" w:pos="5954"/>
          <w:tab w:val="left" w:leader="dot" w:pos="8789"/>
        </w:tabs>
        <w:rPr>
          <w:rFonts w:ascii="Times New Roman" w:hAnsi="Times New Roman" w:cs="Times New Roman"/>
        </w:rPr>
      </w:pPr>
      <w:r w:rsidRPr="00354DDF">
        <w:rPr>
          <w:rFonts w:ascii="Times New Roman" w:hAnsi="Times New Roman" w:cs="Times New Roman"/>
        </w:rPr>
        <w:t>Távközlési Főnökség Pécs: 14 helyszín</w:t>
      </w:r>
    </w:p>
    <w:p w:rsidR="00844254" w:rsidRPr="00354DDF" w:rsidRDefault="00844254" w:rsidP="00844254">
      <w:pPr>
        <w:pStyle w:val="Listaszerbekezds"/>
        <w:keepLines/>
        <w:numPr>
          <w:ilvl w:val="0"/>
          <w:numId w:val="1"/>
        </w:numPr>
        <w:tabs>
          <w:tab w:val="left" w:pos="2694"/>
          <w:tab w:val="left" w:pos="3261"/>
          <w:tab w:val="left" w:leader="underscore" w:pos="5954"/>
          <w:tab w:val="left" w:leader="dot" w:pos="8789"/>
        </w:tabs>
        <w:rPr>
          <w:rFonts w:ascii="Times New Roman" w:hAnsi="Times New Roman" w:cs="Times New Roman"/>
        </w:rPr>
      </w:pPr>
      <w:r w:rsidRPr="00354DDF">
        <w:rPr>
          <w:rFonts w:ascii="Times New Roman" w:hAnsi="Times New Roman" w:cs="Times New Roman"/>
        </w:rPr>
        <w:t>Távközlési Főnökség Miskolc: 4 helyszín</w:t>
      </w:r>
    </w:p>
    <w:p w:rsidR="00844254" w:rsidRPr="00354DDF" w:rsidRDefault="00844254" w:rsidP="00844254">
      <w:pPr>
        <w:pStyle w:val="Listaszerbekezds"/>
        <w:keepLines/>
        <w:numPr>
          <w:ilvl w:val="0"/>
          <w:numId w:val="1"/>
        </w:numPr>
        <w:tabs>
          <w:tab w:val="left" w:pos="2694"/>
          <w:tab w:val="left" w:pos="3261"/>
          <w:tab w:val="left" w:leader="underscore" w:pos="5954"/>
          <w:tab w:val="left" w:leader="dot" w:pos="8789"/>
        </w:tabs>
        <w:rPr>
          <w:rFonts w:ascii="Times New Roman" w:hAnsi="Times New Roman" w:cs="Times New Roman"/>
        </w:rPr>
      </w:pPr>
      <w:r w:rsidRPr="00354DDF">
        <w:rPr>
          <w:rFonts w:ascii="Times New Roman" w:hAnsi="Times New Roman" w:cs="Times New Roman"/>
        </w:rPr>
        <w:t>Távközlési Főnökség Szeged: 11 helyszín</w:t>
      </w:r>
    </w:p>
    <w:p w:rsidR="00844254" w:rsidRPr="00354DDF" w:rsidRDefault="00844254" w:rsidP="00844254">
      <w:pPr>
        <w:pStyle w:val="Listaszerbekezds"/>
        <w:keepLines/>
        <w:numPr>
          <w:ilvl w:val="0"/>
          <w:numId w:val="1"/>
        </w:numPr>
        <w:tabs>
          <w:tab w:val="left" w:pos="2694"/>
          <w:tab w:val="left" w:pos="3261"/>
          <w:tab w:val="left" w:leader="underscore" w:pos="5954"/>
          <w:tab w:val="left" w:leader="dot" w:pos="8789"/>
        </w:tabs>
        <w:rPr>
          <w:rFonts w:ascii="Times New Roman" w:hAnsi="Times New Roman" w:cs="Times New Roman"/>
        </w:rPr>
      </w:pPr>
      <w:r w:rsidRPr="00354DDF">
        <w:rPr>
          <w:rFonts w:ascii="Times New Roman" w:hAnsi="Times New Roman" w:cs="Times New Roman"/>
        </w:rPr>
        <w:t>Távközlési Főnökség Szombathely: 6 helyszín</w:t>
      </w:r>
    </w:p>
    <w:p w:rsidR="00844254" w:rsidRPr="00354DDF" w:rsidRDefault="00844254" w:rsidP="00844254">
      <w:pPr>
        <w:keepLines/>
        <w:tabs>
          <w:tab w:val="left" w:pos="2694"/>
          <w:tab w:val="left" w:pos="3261"/>
          <w:tab w:val="left" w:leader="underscore" w:pos="5954"/>
          <w:tab w:val="left" w:leader="dot" w:pos="8789"/>
        </w:tabs>
        <w:jc w:val="both"/>
        <w:rPr>
          <w:rFonts w:ascii="Times New Roman" w:hAnsi="Times New Roman" w:cs="Times New Roman"/>
          <w:b/>
        </w:rPr>
      </w:pPr>
      <w:r w:rsidRPr="00354DDF">
        <w:rPr>
          <w:rFonts w:ascii="Times New Roman" w:hAnsi="Times New Roman" w:cs="Times New Roman"/>
          <w:b/>
        </w:rPr>
        <w:t>Az IT</w:t>
      </w:r>
      <w:proofErr w:type="gramStart"/>
      <w:r w:rsidRPr="00354DDF">
        <w:rPr>
          <w:rFonts w:ascii="Times New Roman" w:hAnsi="Times New Roman" w:cs="Times New Roman"/>
          <w:b/>
        </w:rPr>
        <w:t>.DOT</w:t>
      </w:r>
      <w:proofErr w:type="gramEnd"/>
      <w:r w:rsidRPr="00354DDF">
        <w:rPr>
          <w:rFonts w:ascii="Times New Roman" w:hAnsi="Times New Roman" w:cs="Times New Roman"/>
          <w:b/>
        </w:rPr>
        <w:t xml:space="preserve"> Kft. által üzembe helyezett termékek listája, melyeken az eseti javítások </w:t>
      </w:r>
      <w:proofErr w:type="spellStart"/>
      <w:r w:rsidRPr="00354DDF">
        <w:rPr>
          <w:rFonts w:ascii="Times New Roman" w:hAnsi="Times New Roman" w:cs="Times New Roman"/>
          <w:b/>
        </w:rPr>
        <w:t>elvégzendőek</w:t>
      </w:r>
      <w:proofErr w:type="spellEnd"/>
      <w:r w:rsidRPr="00354DDF">
        <w:rPr>
          <w:rFonts w:ascii="Times New Roman" w:hAnsi="Times New Roman" w:cs="Times New Roman"/>
          <w:b/>
        </w:rPr>
        <w:t>:</w:t>
      </w:r>
    </w:p>
    <w:p w:rsidR="00844254" w:rsidRPr="00354DDF" w:rsidRDefault="00844254" w:rsidP="00844254">
      <w:pPr>
        <w:keepLines/>
        <w:tabs>
          <w:tab w:val="left" w:pos="2694"/>
          <w:tab w:val="left" w:pos="3261"/>
          <w:tab w:val="left" w:leader="underscore" w:pos="5954"/>
          <w:tab w:val="left" w:leader="dot" w:pos="8789"/>
        </w:tabs>
        <w:jc w:val="both"/>
        <w:rPr>
          <w:rFonts w:ascii="Times New Roman" w:hAnsi="Times New Roman" w:cs="Times New Roman"/>
          <w:b/>
        </w:rPr>
      </w:pPr>
      <w:r w:rsidRPr="00354DDF">
        <w:rPr>
          <w:rFonts w:ascii="Times New Roman" w:hAnsi="Times New Roman" w:cs="Times New Roman"/>
          <w:b/>
        </w:rPr>
        <w:t>Vizuális kijelzők felügyeleti eszközök:</w:t>
      </w:r>
    </w:p>
    <w:p w:rsidR="00844254" w:rsidRPr="00354DDF" w:rsidRDefault="00844254" w:rsidP="00844254">
      <w:pPr>
        <w:keepLines/>
        <w:tabs>
          <w:tab w:val="left" w:pos="2694"/>
          <w:tab w:val="left" w:pos="3261"/>
          <w:tab w:val="left" w:leader="underscore" w:pos="5954"/>
          <w:tab w:val="left" w:leader="dot" w:pos="8789"/>
        </w:tabs>
        <w:jc w:val="both"/>
        <w:rPr>
          <w:rFonts w:ascii="Times New Roman" w:hAnsi="Times New Roman" w:cs="Times New Roman"/>
        </w:rPr>
      </w:pPr>
      <w:proofErr w:type="gramStart"/>
      <w:r w:rsidRPr="00354DDF">
        <w:rPr>
          <w:rFonts w:ascii="Times New Roman" w:hAnsi="Times New Roman" w:cs="Times New Roman"/>
        </w:rPr>
        <w:t xml:space="preserve">iS75RM, iS72RM, iS43RM, iS42RM, iS55RM, iS38RM, iS32RM, iS2x47RM, iO42RM-I, iO42RM, iO19RM, iO43RM.I, iO43RM, PT234-D, PT233-D, PT233, PT233-S, PT232, PT232-S, PT235D, PT236D, PT235S, PT236S, PT237D, iS4219RM, iS19QB, RM124A, 32VA15, 42VA15, 43VA15, 55VA15, 70VA15, OT281, </w:t>
      </w:r>
      <w:proofErr w:type="spellStart"/>
      <w:r w:rsidRPr="00354DDF">
        <w:rPr>
          <w:rFonts w:ascii="Times New Roman" w:hAnsi="Times New Roman" w:cs="Times New Roman"/>
        </w:rPr>
        <w:t>iEM</w:t>
      </w:r>
      <w:proofErr w:type="spellEnd"/>
      <w:r w:rsidRPr="00354DDF">
        <w:rPr>
          <w:rFonts w:ascii="Times New Roman" w:hAnsi="Times New Roman" w:cs="Times New Roman"/>
        </w:rPr>
        <w:t xml:space="preserve"> szerver, PTB502, PTB503, OT34RGB, Visszajelentő monitor,</w:t>
      </w:r>
      <w:proofErr w:type="gramEnd"/>
    </w:p>
    <w:p w:rsidR="00844254" w:rsidRPr="00354DDF" w:rsidRDefault="00844254" w:rsidP="00844254">
      <w:pPr>
        <w:keepLines/>
        <w:tabs>
          <w:tab w:val="left" w:pos="2694"/>
          <w:tab w:val="left" w:pos="3261"/>
          <w:tab w:val="left" w:leader="underscore" w:pos="5954"/>
          <w:tab w:val="left" w:leader="dot" w:pos="8789"/>
        </w:tabs>
        <w:jc w:val="both"/>
        <w:rPr>
          <w:rFonts w:ascii="Times New Roman" w:hAnsi="Times New Roman" w:cs="Times New Roman"/>
          <w:b/>
        </w:rPr>
      </w:pPr>
      <w:r w:rsidRPr="00354DDF">
        <w:rPr>
          <w:rFonts w:ascii="Times New Roman" w:hAnsi="Times New Roman" w:cs="Times New Roman"/>
          <w:b/>
        </w:rPr>
        <w:t>UPS:</w:t>
      </w:r>
    </w:p>
    <w:p w:rsidR="00844254" w:rsidRDefault="00844254" w:rsidP="00844254">
      <w:pPr>
        <w:keepLines/>
        <w:tabs>
          <w:tab w:val="left" w:pos="2694"/>
          <w:tab w:val="left" w:pos="3261"/>
          <w:tab w:val="left" w:leader="underscore" w:pos="5954"/>
          <w:tab w:val="left" w:leader="dot" w:pos="8789"/>
        </w:tabs>
        <w:jc w:val="both"/>
        <w:rPr>
          <w:rFonts w:ascii="Times New Roman" w:hAnsi="Times New Roman" w:cs="Times New Roman"/>
        </w:rPr>
      </w:pPr>
      <w:r w:rsidRPr="00354DDF">
        <w:rPr>
          <w:rFonts w:ascii="Times New Roman" w:hAnsi="Times New Roman" w:cs="Times New Roman"/>
        </w:rPr>
        <w:t xml:space="preserve">FSP </w:t>
      </w:r>
      <w:proofErr w:type="spellStart"/>
      <w:r w:rsidRPr="00354DDF">
        <w:rPr>
          <w:rFonts w:ascii="Times New Roman" w:hAnsi="Times New Roman" w:cs="Times New Roman"/>
        </w:rPr>
        <w:t>Proline</w:t>
      </w:r>
      <w:proofErr w:type="spellEnd"/>
      <w:r w:rsidRPr="00354DDF">
        <w:rPr>
          <w:rFonts w:ascii="Times New Roman" w:hAnsi="Times New Roman" w:cs="Times New Roman"/>
        </w:rPr>
        <w:t xml:space="preserve"> 30kVA, FSP </w:t>
      </w:r>
      <w:proofErr w:type="spellStart"/>
      <w:r w:rsidRPr="00354DDF">
        <w:rPr>
          <w:rFonts w:ascii="Times New Roman" w:hAnsi="Times New Roman" w:cs="Times New Roman"/>
        </w:rPr>
        <w:t>Proline</w:t>
      </w:r>
      <w:proofErr w:type="spellEnd"/>
      <w:r w:rsidRPr="00354DDF">
        <w:rPr>
          <w:rFonts w:ascii="Times New Roman" w:hAnsi="Times New Roman" w:cs="Times New Roman"/>
        </w:rPr>
        <w:t xml:space="preserve"> 10kVA, FSP </w:t>
      </w:r>
      <w:proofErr w:type="spellStart"/>
      <w:r w:rsidRPr="00354DDF">
        <w:rPr>
          <w:rFonts w:ascii="Times New Roman" w:hAnsi="Times New Roman" w:cs="Times New Roman"/>
        </w:rPr>
        <w:t>Custos</w:t>
      </w:r>
      <w:proofErr w:type="spellEnd"/>
      <w:r w:rsidRPr="00354DDF">
        <w:rPr>
          <w:rFonts w:ascii="Times New Roman" w:hAnsi="Times New Roman" w:cs="Times New Roman"/>
        </w:rPr>
        <w:t xml:space="preserve"> 10kVA, FSP </w:t>
      </w:r>
      <w:proofErr w:type="spellStart"/>
      <w:r w:rsidRPr="00354DDF">
        <w:rPr>
          <w:rFonts w:ascii="Times New Roman" w:hAnsi="Times New Roman" w:cs="Times New Roman"/>
        </w:rPr>
        <w:t>Custos</w:t>
      </w:r>
      <w:proofErr w:type="spellEnd"/>
      <w:r w:rsidRPr="00354DDF">
        <w:rPr>
          <w:rFonts w:ascii="Times New Roman" w:hAnsi="Times New Roman" w:cs="Times New Roman"/>
        </w:rPr>
        <w:t xml:space="preserve"> 6kVA, FSP </w:t>
      </w:r>
      <w:proofErr w:type="spellStart"/>
      <w:r w:rsidRPr="00354DDF">
        <w:rPr>
          <w:rFonts w:ascii="Times New Roman" w:hAnsi="Times New Roman" w:cs="Times New Roman"/>
        </w:rPr>
        <w:t>Custos</w:t>
      </w:r>
      <w:proofErr w:type="spellEnd"/>
      <w:r w:rsidRPr="00354DDF">
        <w:rPr>
          <w:rFonts w:ascii="Times New Roman" w:hAnsi="Times New Roman" w:cs="Times New Roman"/>
        </w:rPr>
        <w:t xml:space="preserve"> 1kVA, FSP </w:t>
      </w:r>
      <w:proofErr w:type="spellStart"/>
      <w:r w:rsidRPr="00354DDF">
        <w:rPr>
          <w:rFonts w:ascii="Times New Roman" w:hAnsi="Times New Roman" w:cs="Times New Roman"/>
        </w:rPr>
        <w:t>Custos</w:t>
      </w:r>
      <w:proofErr w:type="spellEnd"/>
      <w:r w:rsidRPr="00354DDF">
        <w:rPr>
          <w:rFonts w:ascii="Times New Roman" w:hAnsi="Times New Roman" w:cs="Times New Roman"/>
        </w:rPr>
        <w:t xml:space="preserve"> 2kVA, FSP </w:t>
      </w:r>
      <w:proofErr w:type="spellStart"/>
      <w:r w:rsidRPr="00354DDF">
        <w:rPr>
          <w:rFonts w:ascii="Times New Roman" w:hAnsi="Times New Roman" w:cs="Times New Roman"/>
        </w:rPr>
        <w:t>Custos</w:t>
      </w:r>
      <w:proofErr w:type="spellEnd"/>
      <w:r w:rsidRPr="00354DDF">
        <w:rPr>
          <w:rFonts w:ascii="Times New Roman" w:hAnsi="Times New Roman" w:cs="Times New Roman"/>
        </w:rPr>
        <w:t xml:space="preserve"> 3kVA</w:t>
      </w:r>
    </w:p>
    <w:p w:rsidR="00844254" w:rsidRPr="00354DDF" w:rsidRDefault="00844254" w:rsidP="00844254">
      <w:pPr>
        <w:keepLines/>
        <w:tabs>
          <w:tab w:val="left" w:pos="2694"/>
          <w:tab w:val="left" w:pos="3261"/>
          <w:tab w:val="left" w:leader="underscore" w:pos="5954"/>
          <w:tab w:val="left" w:leader="dot" w:pos="8789"/>
        </w:tabs>
        <w:jc w:val="both"/>
        <w:rPr>
          <w:rFonts w:ascii="Times New Roman" w:hAnsi="Times New Roman" w:cs="Times New Roman"/>
          <w:b/>
        </w:rPr>
      </w:pPr>
      <w:bookmarkStart w:id="0" w:name="_GoBack"/>
      <w:bookmarkEnd w:id="0"/>
      <w:r w:rsidRPr="00354DDF">
        <w:rPr>
          <w:rFonts w:ascii="Times New Roman" w:hAnsi="Times New Roman" w:cs="Times New Roman"/>
          <w:b/>
        </w:rPr>
        <w:t>Hangos utastájékoztató berendezések:</w:t>
      </w:r>
    </w:p>
    <w:p w:rsidR="0043434A" w:rsidRDefault="00844254" w:rsidP="00844254">
      <w:proofErr w:type="gramStart"/>
      <w:r w:rsidRPr="00354DDF">
        <w:rPr>
          <w:rFonts w:ascii="Times New Roman" w:hAnsi="Times New Roman" w:cs="Times New Roman"/>
        </w:rPr>
        <w:t xml:space="preserve">VBOX, VKAB, VPULT, </w:t>
      </w:r>
      <w:proofErr w:type="spellStart"/>
      <w:r w:rsidRPr="00354DDF">
        <w:rPr>
          <w:rFonts w:ascii="Times New Roman" w:hAnsi="Times New Roman" w:cs="Times New Roman"/>
        </w:rPr>
        <w:t>iVR</w:t>
      </w:r>
      <w:proofErr w:type="spellEnd"/>
      <w:r w:rsidRPr="00354DDF">
        <w:rPr>
          <w:rFonts w:ascii="Times New Roman" w:hAnsi="Times New Roman" w:cs="Times New Roman"/>
        </w:rPr>
        <w:t xml:space="preserve"> szerver, TTS szerver, IVS-K81, IVS-K150, IVS-K101, IVS-K151, IVS-K201, IVS-K152, IVS-K200, IVS-K300, IVS-K302, IVS-K500, IVS-K800, CX1102, CX702, CX302V, CX204V, PS-1600G, Core500i, Core250i, I/O </w:t>
      </w:r>
      <w:proofErr w:type="spellStart"/>
      <w:r w:rsidRPr="00354DDF">
        <w:rPr>
          <w:rFonts w:ascii="Times New Roman" w:hAnsi="Times New Roman" w:cs="Times New Roman"/>
        </w:rPr>
        <w:t>frame</w:t>
      </w:r>
      <w:proofErr w:type="spellEnd"/>
      <w:r w:rsidRPr="00354DDF">
        <w:rPr>
          <w:rFonts w:ascii="Times New Roman" w:hAnsi="Times New Roman" w:cs="Times New Roman"/>
        </w:rPr>
        <w:t xml:space="preserve"> (Q-</w:t>
      </w:r>
      <w:proofErr w:type="spellStart"/>
      <w:r w:rsidRPr="00354DDF">
        <w:rPr>
          <w:rFonts w:ascii="Times New Roman" w:hAnsi="Times New Roman" w:cs="Times New Roman"/>
        </w:rPr>
        <w:t>sys</w:t>
      </w:r>
      <w:proofErr w:type="spellEnd"/>
      <w:r w:rsidRPr="00354DDF">
        <w:rPr>
          <w:rFonts w:ascii="Times New Roman" w:hAnsi="Times New Roman" w:cs="Times New Roman"/>
        </w:rPr>
        <w:t xml:space="preserve"> kimenetek), DAB 801, intRack-Kepu01, PM-660D, SC-610M, INT-DPE, INT-AB04, TOA P2240 erősítő</w:t>
      </w:r>
      <w:r>
        <w:rPr>
          <w:rFonts w:ascii="Times New Roman" w:hAnsi="Times New Roman" w:cs="Times New Roman"/>
        </w:rPr>
        <w:t>, 131S egycsatornás 31 sávos EQ.</w:t>
      </w:r>
      <w:proofErr w:type="gramEnd"/>
    </w:p>
    <w:sectPr w:rsidR="004343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87EA1"/>
    <w:multiLevelType w:val="hybridMultilevel"/>
    <w:tmpl w:val="AD10C9F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54"/>
    <w:rsid w:val="0043434A"/>
    <w:rsid w:val="00844254"/>
    <w:rsid w:val="009B4B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1E367-6E9A-450A-B1C4-ABC5F58E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4425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844254"/>
    <w:pPr>
      <w:ind w:left="720"/>
      <w:contextualSpacing/>
    </w:pPr>
  </w:style>
  <w:style w:type="character" w:customStyle="1" w:styleId="ListaszerbekezdsChar">
    <w:name w:val="Listaszerű bekezdés Char"/>
    <w:link w:val="Listaszerbekezds"/>
    <w:uiPriority w:val="34"/>
    <w:locked/>
    <w:rsid w:val="00844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1913</Characters>
  <Application>Microsoft Office Word</Application>
  <DocSecurity>0</DocSecurity>
  <Lines>15</Lines>
  <Paragraphs>4</Paragraphs>
  <ScaleCrop>false</ScaleCrop>
  <Company>MAV Zrt.</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Balogné Kuli Ágnes (kuliag)</dc:creator>
  <cp:keywords/>
  <dc:description/>
  <cp:lastModifiedBy>Balogné Kuli Ágnes (kuliag)</cp:lastModifiedBy>
  <cp:revision>1</cp:revision>
  <dcterms:created xsi:type="dcterms:W3CDTF">2021-02-18T13:14:00Z</dcterms:created>
  <dcterms:modified xsi:type="dcterms:W3CDTF">2021-02-18T13:15:00Z</dcterms:modified>
</cp:coreProperties>
</file>