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3E7409">
        <w:rPr>
          <w:rFonts w:ascii="Times New Roman" w:hAnsi="Times New Roman" w:cs="Times New Roman"/>
          <w:b/>
          <w:sz w:val="24"/>
          <w:szCs w:val="24"/>
        </w:rPr>
        <w:t>IC+ vasúti személykocsi sorozatgyártás kéziszerszám beszerzése I.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E7409">
        <w:rPr>
          <w:rFonts w:ascii="Times New Roman" w:hAnsi="Times New Roman" w:cs="Times New Roman"/>
          <w:b/>
          <w:sz w:val="24"/>
          <w:szCs w:val="24"/>
        </w:rPr>
        <w:t>IC+ vasúti személykocsi sorozatgyártás kéziszerszám beszerzése I.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E7409"/>
    <w:rsid w:val="00426775"/>
    <w:rsid w:val="00501F48"/>
    <w:rsid w:val="00535E99"/>
    <w:rsid w:val="00541A10"/>
    <w:rsid w:val="005B7D38"/>
    <w:rsid w:val="009752DA"/>
    <w:rsid w:val="009D6CB4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Szakács Xénia</cp:lastModifiedBy>
  <cp:revision>4</cp:revision>
  <dcterms:created xsi:type="dcterms:W3CDTF">2016-01-14T15:19:00Z</dcterms:created>
  <dcterms:modified xsi:type="dcterms:W3CDTF">2016-03-21T08:27:00Z</dcterms:modified>
</cp:coreProperties>
</file>